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2F1" w:rsidRDefault="004352F1" w:rsidP="005232F8">
      <w:pPr>
        <w:autoSpaceDE w:val="0"/>
        <w:autoSpaceDN w:val="0"/>
        <w:adjustRightInd w:val="0"/>
        <w:spacing w:after="0" w:line="240" w:lineRule="auto"/>
        <w:rPr>
          <w:rFonts w:ascii="Arial" w:hAnsi="Arial" w:cs="Arial"/>
        </w:rPr>
      </w:pPr>
      <w:r>
        <w:rPr>
          <w:rFonts w:ascii="Arial" w:hAnsi="Arial" w:cs="Arial"/>
        </w:rPr>
        <w:t xml:space="preserve">Program warsztatów rozpoczęło wystąpienie </w:t>
      </w:r>
      <w:r w:rsidRPr="008D6C77">
        <w:rPr>
          <w:rFonts w:ascii="Arial" w:hAnsi="Arial" w:cs="Arial"/>
        </w:rPr>
        <w:t>Agnieszk</w:t>
      </w:r>
      <w:r>
        <w:rPr>
          <w:rFonts w:ascii="Arial" w:hAnsi="Arial" w:cs="Arial"/>
        </w:rPr>
        <w:t>i</w:t>
      </w:r>
      <w:r w:rsidRPr="008D6C77">
        <w:rPr>
          <w:rFonts w:ascii="Arial" w:hAnsi="Arial" w:cs="Arial"/>
        </w:rPr>
        <w:t xml:space="preserve"> Dawydzik, Dyrektor</w:t>
      </w:r>
      <w:r>
        <w:rPr>
          <w:rFonts w:ascii="Arial" w:hAnsi="Arial" w:cs="Arial"/>
        </w:rPr>
        <w:t>a</w:t>
      </w:r>
      <w:r w:rsidRPr="008D6C77">
        <w:rPr>
          <w:rFonts w:ascii="Arial" w:hAnsi="Arial" w:cs="Arial"/>
        </w:rPr>
        <w:t xml:space="preserve"> Departamentu Koordynacji St</w:t>
      </w:r>
      <w:r>
        <w:rPr>
          <w:rFonts w:ascii="Arial" w:hAnsi="Arial" w:cs="Arial"/>
        </w:rPr>
        <w:t>rategii i Polityk Rozwoju</w:t>
      </w:r>
      <w:r w:rsidRPr="008D6C77">
        <w:rPr>
          <w:rFonts w:ascii="Arial" w:hAnsi="Arial" w:cs="Arial"/>
        </w:rPr>
        <w:t xml:space="preserve"> MI</w:t>
      </w:r>
      <w:r>
        <w:rPr>
          <w:rFonts w:ascii="Arial" w:hAnsi="Arial" w:cs="Arial"/>
        </w:rPr>
        <w:t>i</w:t>
      </w:r>
      <w:r w:rsidRPr="008D6C77">
        <w:rPr>
          <w:rFonts w:ascii="Arial" w:hAnsi="Arial" w:cs="Arial"/>
        </w:rPr>
        <w:t>R</w:t>
      </w:r>
      <w:r>
        <w:rPr>
          <w:rFonts w:ascii="Arial" w:hAnsi="Arial" w:cs="Arial"/>
        </w:rPr>
        <w:t xml:space="preserve">, która zaprezentowała wyniki negocjacji krajowych i regionalnych programów operacyjnych z Komisją Europejską. Jednym ze skutków negocjacji są liczne dodatkowe uwarunkowania i wymogi dotyczące realizacji projektów. </w:t>
      </w:r>
    </w:p>
    <w:p w:rsidR="004352F1" w:rsidRDefault="004352F1" w:rsidP="005232F8">
      <w:pPr>
        <w:autoSpaceDE w:val="0"/>
        <w:autoSpaceDN w:val="0"/>
        <w:adjustRightInd w:val="0"/>
        <w:spacing w:after="0" w:line="240" w:lineRule="auto"/>
        <w:rPr>
          <w:rFonts w:ascii="Arial" w:hAnsi="Arial" w:cs="Arial"/>
        </w:rPr>
      </w:pPr>
      <w:r>
        <w:rPr>
          <w:rFonts w:ascii="Arial" w:hAnsi="Arial" w:cs="Arial"/>
          <w:iCs/>
        </w:rPr>
        <w:t>Ważnym punktem szkolenia było wystąpienie przedstawiciela MIiR na temat możliwości finansowania projektów komplementarnych wskazanych w Strategii ZIT ze środków Programu Operacyjnego Infrastruktura i Środowisko.</w:t>
      </w:r>
    </w:p>
    <w:p w:rsidR="004352F1" w:rsidRDefault="004352F1" w:rsidP="005232F8">
      <w:pPr>
        <w:autoSpaceDE w:val="0"/>
        <w:autoSpaceDN w:val="0"/>
        <w:adjustRightInd w:val="0"/>
        <w:spacing w:after="0" w:line="240" w:lineRule="auto"/>
        <w:rPr>
          <w:rFonts w:ascii="Arial" w:hAnsi="Arial" w:cs="Arial"/>
        </w:rPr>
      </w:pPr>
      <w:r>
        <w:rPr>
          <w:rFonts w:ascii="Arial" w:hAnsi="Arial" w:cs="Arial"/>
        </w:rPr>
        <w:t>Przykładem mogą być inwestycje w zakresie transportu miejskiego, w stosunku do których w trakcie negocjacji wprowadzono następujące zastrzeżenia:</w:t>
      </w:r>
    </w:p>
    <w:p w:rsidR="004352F1" w:rsidRPr="00BC4472" w:rsidRDefault="004352F1" w:rsidP="005232F8">
      <w:pPr>
        <w:pStyle w:val="ListParagraph"/>
        <w:numPr>
          <w:ilvl w:val="0"/>
          <w:numId w:val="3"/>
        </w:numPr>
        <w:autoSpaceDE w:val="0"/>
        <w:autoSpaceDN w:val="0"/>
        <w:adjustRightInd w:val="0"/>
        <w:spacing w:after="120"/>
        <w:ind w:left="426"/>
        <w:rPr>
          <w:rFonts w:ascii="Arial" w:hAnsi="Arial" w:cs="Arial"/>
          <w:sz w:val="22"/>
          <w:szCs w:val="22"/>
        </w:rPr>
      </w:pPr>
      <w:r w:rsidRPr="00BC4472">
        <w:rPr>
          <w:rFonts w:ascii="Arial" w:hAnsi="Arial" w:cs="Arial"/>
          <w:sz w:val="22"/>
          <w:szCs w:val="22"/>
        </w:rPr>
        <w:t xml:space="preserve">Inwestycje w </w:t>
      </w:r>
      <w:r w:rsidRPr="00BC4472">
        <w:rPr>
          <w:rFonts w:ascii="Arial" w:hAnsi="Arial" w:cs="Arial"/>
          <w:b/>
          <w:bCs/>
          <w:sz w:val="22"/>
          <w:szCs w:val="22"/>
        </w:rPr>
        <w:t xml:space="preserve">drogi lokalne lub regionalne </w:t>
      </w:r>
      <w:r>
        <w:rPr>
          <w:rFonts w:ascii="Arial" w:hAnsi="Arial" w:cs="Arial"/>
          <w:sz w:val="22"/>
          <w:szCs w:val="22"/>
        </w:rPr>
        <w:t xml:space="preserve">będą </w:t>
      </w:r>
      <w:r w:rsidRPr="00BC4472">
        <w:rPr>
          <w:rFonts w:ascii="Arial" w:hAnsi="Arial" w:cs="Arial"/>
          <w:sz w:val="22"/>
          <w:szCs w:val="22"/>
        </w:rPr>
        <w:t>finansowane jedynie jako niezbędny i uzupełniający element projektu dotyczącego systemu zró</w:t>
      </w:r>
      <w:r>
        <w:rPr>
          <w:rFonts w:ascii="Arial" w:hAnsi="Arial" w:cs="Arial"/>
          <w:sz w:val="22"/>
          <w:szCs w:val="22"/>
        </w:rPr>
        <w:t>wnoważonej mobilności miejskiej; s</w:t>
      </w:r>
      <w:r w:rsidRPr="00BC4472">
        <w:rPr>
          <w:rFonts w:ascii="Arial" w:hAnsi="Arial" w:cs="Arial"/>
          <w:sz w:val="22"/>
          <w:szCs w:val="22"/>
        </w:rPr>
        <w:t>amodzielne projekty dotyczące wyłącznie infrastruktury drogowej nie będą akceptowane.</w:t>
      </w:r>
    </w:p>
    <w:p w:rsidR="004352F1" w:rsidRPr="00BC4472" w:rsidRDefault="004352F1" w:rsidP="005232F8">
      <w:pPr>
        <w:pStyle w:val="ListParagraph"/>
        <w:numPr>
          <w:ilvl w:val="0"/>
          <w:numId w:val="3"/>
        </w:numPr>
        <w:autoSpaceDE w:val="0"/>
        <w:autoSpaceDN w:val="0"/>
        <w:adjustRightInd w:val="0"/>
        <w:spacing w:after="120"/>
        <w:ind w:left="426"/>
        <w:rPr>
          <w:rFonts w:ascii="Arial" w:hAnsi="Arial" w:cs="Arial"/>
          <w:sz w:val="22"/>
          <w:szCs w:val="22"/>
        </w:rPr>
      </w:pPr>
      <w:r w:rsidRPr="00BC4472">
        <w:rPr>
          <w:rFonts w:ascii="Arial" w:hAnsi="Arial" w:cs="Arial"/>
          <w:sz w:val="22"/>
          <w:szCs w:val="22"/>
        </w:rPr>
        <w:t>W miastach posiadających transport szynowy (tramwaje) preferowany będzie rozwój tej gałęzi transportu zbiorowego poprzez inwestycje w infrastrukturę szynową i tabor.</w:t>
      </w:r>
    </w:p>
    <w:p w:rsidR="004352F1" w:rsidRPr="00BC4472" w:rsidRDefault="004352F1" w:rsidP="005232F8">
      <w:pPr>
        <w:pStyle w:val="ListParagraph"/>
        <w:numPr>
          <w:ilvl w:val="0"/>
          <w:numId w:val="3"/>
        </w:numPr>
        <w:autoSpaceDE w:val="0"/>
        <w:autoSpaceDN w:val="0"/>
        <w:adjustRightInd w:val="0"/>
        <w:spacing w:after="120"/>
        <w:ind w:left="426"/>
        <w:rPr>
          <w:rFonts w:ascii="Arial" w:hAnsi="Arial" w:cs="Arial"/>
          <w:sz w:val="22"/>
          <w:szCs w:val="22"/>
        </w:rPr>
      </w:pPr>
      <w:r>
        <w:rPr>
          <w:rFonts w:ascii="Arial" w:hAnsi="Arial" w:cs="Arial"/>
          <w:sz w:val="22"/>
          <w:szCs w:val="22"/>
        </w:rPr>
        <w:t>Z</w:t>
      </w:r>
      <w:r w:rsidRPr="00BC4472">
        <w:rPr>
          <w:rFonts w:ascii="Arial" w:hAnsi="Arial" w:cs="Arial"/>
          <w:sz w:val="22"/>
          <w:szCs w:val="22"/>
        </w:rPr>
        <w:t xml:space="preserve">akup autobusów </w:t>
      </w:r>
      <w:r>
        <w:rPr>
          <w:rFonts w:ascii="Arial" w:hAnsi="Arial" w:cs="Arial"/>
          <w:sz w:val="22"/>
          <w:szCs w:val="22"/>
        </w:rPr>
        <w:t xml:space="preserve">musi wynikać </w:t>
      </w:r>
      <w:r w:rsidRPr="00BC4472">
        <w:rPr>
          <w:rFonts w:ascii="Arial" w:hAnsi="Arial" w:cs="Arial"/>
          <w:sz w:val="22"/>
          <w:szCs w:val="22"/>
        </w:rPr>
        <w:t>z dokumentów strategicznych albo z analizy kosztów i korzyści odnoszących się do zrównoważonej mobilności miejskiej</w:t>
      </w:r>
      <w:r>
        <w:rPr>
          <w:rFonts w:ascii="Arial" w:hAnsi="Arial" w:cs="Arial"/>
          <w:sz w:val="22"/>
          <w:szCs w:val="22"/>
        </w:rPr>
        <w:t>. D</w:t>
      </w:r>
      <w:r w:rsidRPr="00BC4472">
        <w:rPr>
          <w:rFonts w:ascii="Arial" w:hAnsi="Arial" w:cs="Arial"/>
          <w:sz w:val="22"/>
          <w:szCs w:val="22"/>
        </w:rPr>
        <w:t>ozwolony jest zakup pojazdów spełniających normę emisji spalin EURO VI</w:t>
      </w:r>
      <w:r>
        <w:rPr>
          <w:rFonts w:ascii="Arial" w:hAnsi="Arial" w:cs="Arial"/>
          <w:sz w:val="22"/>
          <w:szCs w:val="22"/>
        </w:rPr>
        <w:t>, jednak p</w:t>
      </w:r>
      <w:r w:rsidRPr="00BC4472">
        <w:rPr>
          <w:rFonts w:ascii="Arial" w:hAnsi="Arial" w:cs="Arial"/>
          <w:sz w:val="22"/>
          <w:szCs w:val="22"/>
        </w:rPr>
        <w:t xml:space="preserve">riorytetowo będzie traktowany zakup pojazdów o alternatywnych systemach napędowych (elektrycznych, hybrydowych, biopaliwa, napędzanych wodorem, itp.). </w:t>
      </w:r>
    </w:p>
    <w:p w:rsidR="004352F1" w:rsidRPr="00BC4472" w:rsidRDefault="004352F1" w:rsidP="005232F8">
      <w:pPr>
        <w:pStyle w:val="ListParagraph"/>
        <w:numPr>
          <w:ilvl w:val="0"/>
          <w:numId w:val="3"/>
        </w:numPr>
        <w:autoSpaceDE w:val="0"/>
        <w:autoSpaceDN w:val="0"/>
        <w:adjustRightInd w:val="0"/>
        <w:spacing w:after="120"/>
        <w:ind w:left="426"/>
        <w:rPr>
          <w:rFonts w:ascii="Arial" w:hAnsi="Arial" w:cs="Arial"/>
          <w:sz w:val="22"/>
          <w:szCs w:val="22"/>
        </w:rPr>
      </w:pPr>
      <w:r w:rsidRPr="00BC4472">
        <w:rPr>
          <w:rFonts w:ascii="Arial" w:hAnsi="Arial" w:cs="Arial"/>
          <w:sz w:val="22"/>
          <w:szCs w:val="22"/>
        </w:rPr>
        <w:t xml:space="preserve">Zakupowi niskoemisyjnego taboru powinny towarzyszyć inwestycje w niezbędną dla właściwego funkcjonowania zrównoważonej mobilności infrastrukturę. </w:t>
      </w:r>
    </w:p>
    <w:p w:rsidR="004352F1" w:rsidRPr="002E5E73" w:rsidRDefault="004352F1" w:rsidP="005232F8">
      <w:pPr>
        <w:autoSpaceDE w:val="0"/>
        <w:autoSpaceDN w:val="0"/>
        <w:adjustRightInd w:val="0"/>
        <w:spacing w:after="120" w:line="240" w:lineRule="auto"/>
        <w:rPr>
          <w:rFonts w:ascii="Arial" w:hAnsi="Arial" w:cs="Arial"/>
        </w:rPr>
      </w:pPr>
      <w:r>
        <w:rPr>
          <w:rFonts w:ascii="Arial" w:hAnsi="Arial" w:cs="Arial"/>
        </w:rPr>
        <w:t xml:space="preserve">Efektem negocjacji jest także uzyskanie przez Związki ZIT statusu instytucji pośredniczących we wdrażaniu Regionalnych Programów Operacyjnych, co wzmacnia ich pozycję, ale oznacza konieczność uzyskania desygnacji. Desygnacja to potwierdzenie udzielone przez </w:t>
      </w:r>
      <w:r w:rsidRPr="001E031C">
        <w:rPr>
          <w:rFonts w:ascii="Arial" w:hAnsi="Arial" w:cs="Arial"/>
        </w:rPr>
        <w:t>ministra właściwego do spraw rozwoju regionalnego</w:t>
      </w:r>
      <w:r>
        <w:rPr>
          <w:rFonts w:ascii="Arial" w:hAnsi="Arial" w:cs="Arial"/>
        </w:rPr>
        <w:t xml:space="preserve">, że instytucja zarządzająca i instytucje pośredniczące </w:t>
      </w:r>
      <w:r w:rsidRPr="002E5E73">
        <w:rPr>
          <w:rFonts w:ascii="Arial" w:hAnsi="Arial" w:cs="Arial"/>
        </w:rPr>
        <w:t>spełnia</w:t>
      </w:r>
      <w:r>
        <w:rPr>
          <w:rFonts w:ascii="Arial" w:hAnsi="Arial" w:cs="Arial"/>
        </w:rPr>
        <w:t xml:space="preserve">ją </w:t>
      </w:r>
      <w:r w:rsidRPr="002E5E73">
        <w:rPr>
          <w:rFonts w:ascii="Arial" w:hAnsi="Arial" w:cs="Arial"/>
        </w:rPr>
        <w:t>warunk</w:t>
      </w:r>
      <w:r>
        <w:rPr>
          <w:rFonts w:ascii="Arial" w:hAnsi="Arial" w:cs="Arial"/>
        </w:rPr>
        <w:t xml:space="preserve">i w zakresie m.in. struktur organizacyjnych, zasobów ludzkich i procedur </w:t>
      </w:r>
      <w:r w:rsidRPr="002E5E73">
        <w:rPr>
          <w:rFonts w:ascii="Arial" w:hAnsi="Arial" w:cs="Arial"/>
        </w:rPr>
        <w:t>zapewniając</w:t>
      </w:r>
      <w:r>
        <w:rPr>
          <w:rFonts w:ascii="Arial" w:hAnsi="Arial" w:cs="Arial"/>
        </w:rPr>
        <w:t>ych</w:t>
      </w:r>
      <w:r w:rsidRPr="002E5E73">
        <w:rPr>
          <w:rFonts w:ascii="Arial" w:hAnsi="Arial" w:cs="Arial"/>
        </w:rPr>
        <w:t xml:space="preserve"> prawidłową realizację </w:t>
      </w:r>
      <w:r>
        <w:rPr>
          <w:rFonts w:ascii="Arial" w:hAnsi="Arial" w:cs="Arial"/>
        </w:rPr>
        <w:t xml:space="preserve">danego </w:t>
      </w:r>
      <w:r w:rsidRPr="002E5E73">
        <w:rPr>
          <w:rFonts w:ascii="Arial" w:hAnsi="Arial" w:cs="Arial"/>
        </w:rPr>
        <w:t>programu operacyjnego.</w:t>
      </w:r>
      <w:r>
        <w:rPr>
          <w:rFonts w:ascii="Arial" w:hAnsi="Arial" w:cs="Arial"/>
        </w:rPr>
        <w:t xml:space="preserve"> Spełnienie tych warunków sprawdzi </w:t>
      </w:r>
      <w:r w:rsidRPr="002E5E73">
        <w:rPr>
          <w:rFonts w:ascii="Arial" w:hAnsi="Arial" w:cs="Arial"/>
        </w:rPr>
        <w:t>Instytucj</w:t>
      </w:r>
      <w:r>
        <w:rPr>
          <w:rFonts w:ascii="Arial" w:hAnsi="Arial" w:cs="Arial"/>
        </w:rPr>
        <w:t>a</w:t>
      </w:r>
      <w:r w:rsidRPr="002E5E73">
        <w:rPr>
          <w:rFonts w:ascii="Arial" w:hAnsi="Arial" w:cs="Arial"/>
        </w:rPr>
        <w:t xml:space="preserve"> Audytow</w:t>
      </w:r>
      <w:r>
        <w:rPr>
          <w:rFonts w:ascii="Arial" w:hAnsi="Arial" w:cs="Arial"/>
        </w:rPr>
        <w:t xml:space="preserve">a </w:t>
      </w:r>
      <w:r w:rsidRPr="001121E5">
        <w:rPr>
          <w:rFonts w:ascii="Arial" w:hAnsi="Arial" w:cs="Arial"/>
        </w:rPr>
        <w:t>której zadania realizuje Generalny Inspektor Kontroli Skarbowej</w:t>
      </w:r>
      <w:r>
        <w:rPr>
          <w:rFonts w:ascii="Arial" w:hAnsi="Arial" w:cs="Arial"/>
        </w:rPr>
        <w:t xml:space="preserve">. Ze statusem Instytucji Pośredniczącej łączy się także </w:t>
      </w:r>
      <w:r>
        <w:rPr>
          <w:rFonts w:ascii="Arial" w:hAnsi="Arial" w:cs="Arial"/>
          <w:bCs/>
        </w:rPr>
        <w:t xml:space="preserve">odpowiedzialność </w:t>
      </w:r>
      <w:r w:rsidRPr="002E5E73">
        <w:rPr>
          <w:rFonts w:ascii="Arial" w:hAnsi="Arial" w:cs="Arial"/>
          <w:bCs/>
        </w:rPr>
        <w:t>za prawidłowe wykorzystanie środków w ramach powierzon</w:t>
      </w:r>
      <w:r>
        <w:rPr>
          <w:rFonts w:ascii="Arial" w:hAnsi="Arial" w:cs="Arial"/>
          <w:bCs/>
        </w:rPr>
        <w:t xml:space="preserve">ych zadań, a w </w:t>
      </w:r>
      <w:r w:rsidRPr="002E5E73">
        <w:rPr>
          <w:rFonts w:ascii="Arial" w:hAnsi="Arial" w:cs="Arial"/>
          <w:bCs/>
        </w:rPr>
        <w:t>przypadku stwierdzenia, iż na skutek działania lub zaniechania przez IP doszło do nieprawidłowego wykorzystania środków, skutki finan</w:t>
      </w:r>
      <w:r>
        <w:rPr>
          <w:rFonts w:ascii="Arial" w:hAnsi="Arial" w:cs="Arial"/>
          <w:bCs/>
        </w:rPr>
        <w:t>sowe z tego tytułu obciążają IP.</w:t>
      </w:r>
    </w:p>
    <w:p w:rsidR="004352F1" w:rsidRDefault="004352F1" w:rsidP="005232F8">
      <w:pPr>
        <w:autoSpaceDE w:val="0"/>
        <w:autoSpaceDN w:val="0"/>
        <w:adjustRightInd w:val="0"/>
        <w:spacing w:after="120" w:line="240" w:lineRule="auto"/>
        <w:rPr>
          <w:rFonts w:ascii="Arial" w:hAnsi="Arial" w:cs="Arial"/>
          <w:iCs/>
        </w:rPr>
      </w:pPr>
      <w:r>
        <w:rPr>
          <w:rFonts w:ascii="Arial" w:hAnsi="Arial" w:cs="Arial"/>
        </w:rPr>
        <w:t xml:space="preserve">Zakres zadań wykonywanych przez Związek ZIT jako Instytucję Pośredniczącą musi być określony w pisemnym porozumieniu zawartym z Instytucją Zarządzającą RPO, czyli Samorządem Województwa. Treść tych porozumień i zakres delegowanych zadań były przedmiotem zajęć warsztatowych, w trakcie których uczestnicy starali się wypracować modelowe porozumienie w zakresie delegacji zadań do Związku ZIT związane z realizacją działań RPO służących realizacji Strategii ZIT. Podstawą dla takiego porozumienia jest </w:t>
      </w:r>
      <w:r>
        <w:rPr>
          <w:rFonts w:ascii="Arial" w:hAnsi="Arial" w:cs="Arial"/>
          <w:iCs/>
        </w:rPr>
        <w:t>R</w:t>
      </w:r>
      <w:r w:rsidRPr="00E54375">
        <w:rPr>
          <w:rFonts w:ascii="Arial" w:hAnsi="Arial" w:cs="Arial"/>
          <w:iCs/>
        </w:rPr>
        <w:t>ozporządzeni</w:t>
      </w:r>
      <w:r>
        <w:rPr>
          <w:rFonts w:ascii="Arial" w:hAnsi="Arial" w:cs="Arial"/>
          <w:iCs/>
        </w:rPr>
        <w:t>e Parlamentu Europejskiego i Rady (UE) nr</w:t>
      </w:r>
      <w:r w:rsidRPr="00E54375">
        <w:rPr>
          <w:rFonts w:ascii="Arial" w:hAnsi="Arial" w:cs="Arial"/>
          <w:iCs/>
        </w:rPr>
        <w:t xml:space="preserve"> 1303/2013</w:t>
      </w:r>
      <w:r>
        <w:rPr>
          <w:rFonts w:ascii="Arial" w:hAnsi="Arial" w:cs="Arial"/>
          <w:iCs/>
        </w:rPr>
        <w:t xml:space="preserve">, zgodnie z którym Związki ZIT </w:t>
      </w:r>
      <w:r w:rsidRPr="00E54375">
        <w:rPr>
          <w:rFonts w:ascii="Arial" w:hAnsi="Arial" w:cs="Arial"/>
          <w:bCs/>
          <w:iCs/>
        </w:rPr>
        <w:t xml:space="preserve">realizują </w:t>
      </w:r>
      <w:r>
        <w:rPr>
          <w:rFonts w:ascii="Arial" w:hAnsi="Arial" w:cs="Arial"/>
          <w:bCs/>
          <w:iCs/>
        </w:rPr>
        <w:t xml:space="preserve">zadania związane przynajmniej z </w:t>
      </w:r>
      <w:r w:rsidRPr="00E54375">
        <w:rPr>
          <w:rFonts w:ascii="Arial" w:hAnsi="Arial" w:cs="Arial"/>
          <w:bCs/>
          <w:iCs/>
        </w:rPr>
        <w:t>wyborem projektów do dofinansowania</w:t>
      </w:r>
      <w:r w:rsidRPr="00E54375">
        <w:rPr>
          <w:rFonts w:ascii="Arial" w:hAnsi="Arial" w:cs="Arial"/>
          <w:iCs/>
        </w:rPr>
        <w:t xml:space="preserve">. </w:t>
      </w:r>
      <w:r w:rsidRPr="00E54375">
        <w:rPr>
          <w:rFonts w:ascii="Arial" w:hAnsi="Arial" w:cs="Arial"/>
          <w:bCs/>
          <w:iCs/>
        </w:rPr>
        <w:t xml:space="preserve">Minimalny zakres powierzenia zadań </w:t>
      </w:r>
      <w:r>
        <w:rPr>
          <w:rFonts w:ascii="Arial" w:hAnsi="Arial" w:cs="Arial"/>
          <w:bCs/>
          <w:iCs/>
        </w:rPr>
        <w:t xml:space="preserve">Związkowi ZIT powinien obejmować przedkładanie Instytucji Zarządzającej RPO </w:t>
      </w:r>
      <w:r w:rsidRPr="00E54375">
        <w:rPr>
          <w:rFonts w:ascii="Arial" w:hAnsi="Arial" w:cs="Arial"/>
          <w:bCs/>
          <w:iCs/>
        </w:rPr>
        <w:t>listy</w:t>
      </w:r>
      <w:r>
        <w:rPr>
          <w:rFonts w:ascii="Arial" w:hAnsi="Arial" w:cs="Arial"/>
          <w:bCs/>
          <w:iCs/>
        </w:rPr>
        <w:t xml:space="preserve"> projektów wyłonionych w </w:t>
      </w:r>
      <w:r w:rsidRPr="00E54375">
        <w:rPr>
          <w:rFonts w:ascii="Arial" w:hAnsi="Arial" w:cs="Arial"/>
          <w:bCs/>
          <w:iCs/>
        </w:rPr>
        <w:t>konkursie bądź</w:t>
      </w:r>
      <w:r>
        <w:rPr>
          <w:rFonts w:ascii="Arial" w:hAnsi="Arial" w:cs="Arial"/>
          <w:bCs/>
          <w:iCs/>
        </w:rPr>
        <w:t xml:space="preserve"> </w:t>
      </w:r>
      <w:r w:rsidRPr="00E54375">
        <w:rPr>
          <w:rFonts w:ascii="Arial" w:hAnsi="Arial" w:cs="Arial"/>
          <w:iCs/>
        </w:rPr>
        <w:t>-</w:t>
      </w:r>
      <w:r>
        <w:rPr>
          <w:rFonts w:ascii="Arial" w:hAnsi="Arial" w:cs="Arial"/>
          <w:iCs/>
        </w:rPr>
        <w:t xml:space="preserve"> </w:t>
      </w:r>
      <w:r w:rsidRPr="00E54375">
        <w:rPr>
          <w:rFonts w:ascii="Arial" w:hAnsi="Arial" w:cs="Arial"/>
          <w:iCs/>
        </w:rPr>
        <w:t>w przypadku trybu pozakonkursowego</w:t>
      </w:r>
      <w:r>
        <w:rPr>
          <w:rFonts w:ascii="Arial" w:hAnsi="Arial" w:cs="Arial"/>
          <w:iCs/>
        </w:rPr>
        <w:t xml:space="preserve"> </w:t>
      </w:r>
      <w:r w:rsidRPr="00E54375">
        <w:rPr>
          <w:rFonts w:ascii="Arial" w:hAnsi="Arial" w:cs="Arial"/>
          <w:iCs/>
        </w:rPr>
        <w:t>-</w:t>
      </w:r>
      <w:r>
        <w:rPr>
          <w:rFonts w:ascii="Arial" w:hAnsi="Arial" w:cs="Arial"/>
          <w:iCs/>
        </w:rPr>
        <w:t xml:space="preserve"> </w:t>
      </w:r>
      <w:r w:rsidRPr="00E54375">
        <w:rPr>
          <w:rFonts w:ascii="Arial" w:hAnsi="Arial" w:cs="Arial"/>
          <w:bCs/>
          <w:iCs/>
        </w:rPr>
        <w:t>zidentyfikowanych w Strategii ZIT</w:t>
      </w:r>
      <w:r w:rsidRPr="00E54375">
        <w:rPr>
          <w:rFonts w:ascii="Arial" w:hAnsi="Arial" w:cs="Arial"/>
          <w:iCs/>
        </w:rPr>
        <w:t>,</w:t>
      </w:r>
      <w:r>
        <w:rPr>
          <w:rFonts w:ascii="Arial" w:hAnsi="Arial" w:cs="Arial"/>
          <w:iCs/>
        </w:rPr>
        <w:t xml:space="preserve"> </w:t>
      </w:r>
      <w:r w:rsidRPr="00E54375">
        <w:rPr>
          <w:rFonts w:ascii="Arial" w:hAnsi="Arial" w:cs="Arial"/>
          <w:iCs/>
        </w:rPr>
        <w:t>spriorytetyzowanych w oparciu o kryteria zatwierdzone przez KM RPO dotyczące stopnia zgodności z celami strategii ZIT.</w:t>
      </w:r>
      <w:r>
        <w:rPr>
          <w:rFonts w:ascii="Arial" w:hAnsi="Arial" w:cs="Arial"/>
          <w:iCs/>
        </w:rPr>
        <w:t xml:space="preserve"> </w:t>
      </w:r>
      <w:r w:rsidRPr="00E54375">
        <w:rPr>
          <w:rFonts w:ascii="Arial" w:hAnsi="Arial" w:cs="Arial"/>
          <w:iCs/>
        </w:rPr>
        <w:t>IZ RPO</w:t>
      </w:r>
      <w:r>
        <w:rPr>
          <w:rFonts w:ascii="Arial" w:hAnsi="Arial" w:cs="Arial"/>
          <w:iCs/>
        </w:rPr>
        <w:t xml:space="preserve"> </w:t>
      </w:r>
      <w:r w:rsidRPr="00E54375">
        <w:rPr>
          <w:rFonts w:ascii="Arial" w:hAnsi="Arial" w:cs="Arial"/>
          <w:iCs/>
        </w:rPr>
        <w:t xml:space="preserve">dokonuje ostatecznego sprawdzenia kwalifikowalności projektów do dofinansowania, zgodnie z art. 7 ust 5 rozporządzenia 1301/2013, chyba że porozumienie przewiduje inaczej. </w:t>
      </w:r>
      <w:r w:rsidRPr="00E54375">
        <w:rPr>
          <w:rFonts w:ascii="Arial" w:hAnsi="Arial" w:cs="Arial"/>
          <w:bCs/>
          <w:iCs/>
        </w:rPr>
        <w:t xml:space="preserve">Techniczna organizacja naboru i pełna ocena projektów pod względem formalnym i merytorycznym może być dokonywana przez </w:t>
      </w:r>
      <w:r>
        <w:rPr>
          <w:rFonts w:ascii="Arial" w:hAnsi="Arial" w:cs="Arial"/>
          <w:bCs/>
          <w:iCs/>
        </w:rPr>
        <w:t xml:space="preserve">Związek ZIT </w:t>
      </w:r>
      <w:r w:rsidRPr="00E54375">
        <w:rPr>
          <w:rFonts w:ascii="Arial" w:hAnsi="Arial" w:cs="Arial"/>
          <w:bCs/>
          <w:iCs/>
        </w:rPr>
        <w:t xml:space="preserve">lub </w:t>
      </w:r>
      <w:r>
        <w:rPr>
          <w:rFonts w:ascii="Arial" w:hAnsi="Arial" w:cs="Arial"/>
          <w:bCs/>
          <w:iCs/>
        </w:rPr>
        <w:t xml:space="preserve">przez </w:t>
      </w:r>
      <w:r w:rsidRPr="00E54375">
        <w:rPr>
          <w:rFonts w:ascii="Arial" w:hAnsi="Arial" w:cs="Arial"/>
          <w:bCs/>
          <w:iCs/>
        </w:rPr>
        <w:t>IZ RPO</w:t>
      </w:r>
      <w:r>
        <w:rPr>
          <w:rFonts w:ascii="Arial" w:hAnsi="Arial" w:cs="Arial"/>
          <w:bCs/>
          <w:iCs/>
        </w:rPr>
        <w:t>, w zależności od postanowień zawartego między nimi porozumienia</w:t>
      </w:r>
      <w:r>
        <w:rPr>
          <w:rFonts w:ascii="Arial" w:hAnsi="Arial" w:cs="Arial"/>
          <w:iCs/>
        </w:rPr>
        <w:t>. Wśród uczestników szkolenia dało się zauważyć duże zróżnicowanie w odniesieniu do zakresu zadań delegowanych do Związku ZIT. Przedstawiciele niektórych związków (np. Opole) optowali za przejęciem jak najszerszego zakresu zadań, jednak większość uczestników warsztatów opowiadała się za minimalnym zakresem zadań, ograniczonym do wyboru projektów, pozostawiając instytucji zarządzającej przeprowadzanie naborów, ocenę formalną i ocenę merytoryczną, a także podpisanie umowy i wynikające z tego obowiązki dotyczące monitoringu i kontroli realizacji projektu.</w:t>
      </w:r>
    </w:p>
    <w:p w:rsidR="004352F1" w:rsidRPr="00171237" w:rsidRDefault="004352F1" w:rsidP="005232F8">
      <w:pPr>
        <w:autoSpaceDE w:val="0"/>
        <w:autoSpaceDN w:val="0"/>
        <w:adjustRightInd w:val="0"/>
        <w:spacing w:after="0" w:line="240" w:lineRule="auto"/>
        <w:rPr>
          <w:rFonts w:ascii="Arial" w:hAnsi="Arial" w:cs="Arial"/>
        </w:rPr>
      </w:pPr>
      <w:r>
        <w:rPr>
          <w:rFonts w:ascii="Arial" w:hAnsi="Arial" w:cs="Arial"/>
          <w:iCs/>
        </w:rPr>
        <w:t xml:space="preserve">Ważnym punktem szkolenia było wystąpienie przedstawiciela MIiR na temat możliwości finansowania projektów komplementarnych wskazanych w Strategii ZIT ze środków Programu Operacyjnego Infrastruktura i Środowisko. </w:t>
      </w:r>
      <w:r w:rsidRPr="00171237">
        <w:rPr>
          <w:rFonts w:ascii="Arial" w:hAnsi="Arial" w:cs="Arial"/>
        </w:rPr>
        <w:t>Możliwy katalog wsparcia obejmuje następujące działania:</w:t>
      </w:r>
    </w:p>
    <w:p w:rsidR="004352F1" w:rsidRPr="00171237" w:rsidRDefault="004352F1" w:rsidP="005232F8">
      <w:pPr>
        <w:numPr>
          <w:ilvl w:val="0"/>
          <w:numId w:val="6"/>
        </w:numPr>
        <w:autoSpaceDE w:val="0"/>
        <w:autoSpaceDN w:val="0"/>
        <w:adjustRightInd w:val="0"/>
        <w:spacing w:after="0" w:line="240" w:lineRule="auto"/>
        <w:ind w:left="0" w:firstLine="0"/>
        <w:rPr>
          <w:rFonts w:ascii="Arial" w:hAnsi="Arial" w:cs="Arial"/>
        </w:rPr>
      </w:pPr>
      <w:r w:rsidRPr="00171237">
        <w:rPr>
          <w:rFonts w:ascii="Arial" w:hAnsi="Arial" w:cs="Arial"/>
        </w:rPr>
        <w:t>modernizacja energetyczna budynków z wymianą wyposażeni</w:t>
      </w:r>
      <w:r>
        <w:rPr>
          <w:rFonts w:ascii="Arial" w:hAnsi="Arial" w:cs="Arial"/>
        </w:rPr>
        <w:t xml:space="preserve">a na energooszczędne; </w:t>
      </w:r>
      <w:r w:rsidRPr="00171237">
        <w:rPr>
          <w:rFonts w:ascii="Arial" w:hAnsi="Arial" w:cs="Arial"/>
        </w:rPr>
        <w:t xml:space="preserve">na </w:t>
      </w:r>
      <w:r>
        <w:rPr>
          <w:rFonts w:ascii="Arial" w:hAnsi="Arial" w:cs="Arial"/>
        </w:rPr>
        <w:t xml:space="preserve">te inwestycje PO IiŚ przewiduje </w:t>
      </w:r>
      <w:r w:rsidRPr="00171237">
        <w:rPr>
          <w:rFonts w:ascii="Arial" w:hAnsi="Arial" w:cs="Arial"/>
        </w:rPr>
        <w:t>451</w:t>
      </w:r>
      <w:r>
        <w:rPr>
          <w:rFonts w:ascii="Arial" w:hAnsi="Arial" w:cs="Arial"/>
        </w:rPr>
        <w:t>,</w:t>
      </w:r>
      <w:r w:rsidRPr="00171237">
        <w:rPr>
          <w:rFonts w:ascii="Arial" w:hAnsi="Arial" w:cs="Arial"/>
        </w:rPr>
        <w:t>7</w:t>
      </w:r>
      <w:r>
        <w:rPr>
          <w:rFonts w:ascii="Arial" w:hAnsi="Arial" w:cs="Arial"/>
        </w:rPr>
        <w:t xml:space="preserve"> mln</w:t>
      </w:r>
      <w:r w:rsidRPr="00171237">
        <w:rPr>
          <w:rFonts w:ascii="Arial" w:hAnsi="Arial" w:cs="Arial"/>
        </w:rPr>
        <w:t xml:space="preserve"> euro</w:t>
      </w:r>
      <w:r>
        <w:rPr>
          <w:rFonts w:ascii="Arial" w:hAnsi="Arial" w:cs="Arial"/>
        </w:rPr>
        <w:t>,</w:t>
      </w:r>
    </w:p>
    <w:p w:rsidR="004352F1" w:rsidRPr="00171237" w:rsidRDefault="004352F1" w:rsidP="005232F8">
      <w:pPr>
        <w:numPr>
          <w:ilvl w:val="0"/>
          <w:numId w:val="6"/>
        </w:numPr>
        <w:autoSpaceDE w:val="0"/>
        <w:autoSpaceDN w:val="0"/>
        <w:adjustRightInd w:val="0"/>
        <w:spacing w:after="0" w:line="240" w:lineRule="auto"/>
        <w:ind w:left="0" w:firstLine="0"/>
        <w:rPr>
          <w:rFonts w:ascii="Arial" w:hAnsi="Arial" w:cs="Arial"/>
        </w:rPr>
      </w:pPr>
      <w:r w:rsidRPr="00171237">
        <w:rPr>
          <w:rFonts w:ascii="Arial" w:hAnsi="Arial" w:cs="Arial"/>
        </w:rPr>
        <w:t>realizacja sieci ciepłow</w:t>
      </w:r>
      <w:r>
        <w:rPr>
          <w:rFonts w:ascii="Arial" w:hAnsi="Arial" w:cs="Arial"/>
        </w:rPr>
        <w:t>niczych i chłodniczych (543,2 mln</w:t>
      </w:r>
      <w:r w:rsidRPr="00171237">
        <w:rPr>
          <w:rFonts w:ascii="Arial" w:hAnsi="Arial" w:cs="Arial"/>
        </w:rPr>
        <w:t xml:space="preserve"> euro</w:t>
      </w:r>
      <w:r>
        <w:rPr>
          <w:rFonts w:ascii="Arial" w:hAnsi="Arial" w:cs="Arial"/>
        </w:rPr>
        <w:t>),</w:t>
      </w:r>
    </w:p>
    <w:p w:rsidR="004352F1" w:rsidRPr="00171237" w:rsidRDefault="004352F1" w:rsidP="005232F8">
      <w:pPr>
        <w:numPr>
          <w:ilvl w:val="0"/>
          <w:numId w:val="6"/>
        </w:numPr>
        <w:autoSpaceDE w:val="0"/>
        <w:autoSpaceDN w:val="0"/>
        <w:adjustRightInd w:val="0"/>
        <w:spacing w:after="0" w:line="240" w:lineRule="auto"/>
        <w:ind w:left="0" w:firstLine="0"/>
        <w:rPr>
          <w:rFonts w:ascii="Arial" w:hAnsi="Arial" w:cs="Arial"/>
        </w:rPr>
      </w:pPr>
      <w:r>
        <w:rPr>
          <w:rFonts w:ascii="Arial" w:hAnsi="Arial" w:cs="Arial"/>
        </w:rPr>
        <w:t xml:space="preserve">promowanie strategii niskoemisyjnych, w tym </w:t>
      </w:r>
      <w:r w:rsidRPr="00171237">
        <w:rPr>
          <w:rFonts w:ascii="Arial" w:hAnsi="Arial" w:cs="Arial"/>
        </w:rPr>
        <w:t xml:space="preserve">zrównoważona </w:t>
      </w:r>
      <w:r>
        <w:rPr>
          <w:rFonts w:ascii="Arial" w:hAnsi="Arial" w:cs="Arial"/>
        </w:rPr>
        <w:t xml:space="preserve">multimodalna </w:t>
      </w:r>
      <w:r w:rsidRPr="00171237">
        <w:rPr>
          <w:rFonts w:ascii="Arial" w:hAnsi="Arial" w:cs="Arial"/>
        </w:rPr>
        <w:t>mobilność mie</w:t>
      </w:r>
      <w:r>
        <w:rPr>
          <w:rFonts w:ascii="Arial" w:hAnsi="Arial" w:cs="Arial"/>
        </w:rPr>
        <w:t>jska/transport miejski (1 181,4 mln euro),</w:t>
      </w:r>
    </w:p>
    <w:p w:rsidR="004352F1" w:rsidRPr="00171237" w:rsidRDefault="004352F1" w:rsidP="005232F8">
      <w:pPr>
        <w:numPr>
          <w:ilvl w:val="0"/>
          <w:numId w:val="6"/>
        </w:numPr>
        <w:autoSpaceDE w:val="0"/>
        <w:autoSpaceDN w:val="0"/>
        <w:adjustRightInd w:val="0"/>
        <w:spacing w:after="0" w:line="240" w:lineRule="auto"/>
        <w:ind w:left="0" w:firstLine="0"/>
        <w:rPr>
          <w:rFonts w:ascii="Arial" w:hAnsi="Arial" w:cs="Arial"/>
        </w:rPr>
      </w:pPr>
      <w:r w:rsidRPr="00171237">
        <w:rPr>
          <w:rFonts w:ascii="Arial" w:hAnsi="Arial" w:cs="Arial"/>
        </w:rPr>
        <w:t>wytwarzanie energii elektrycznej i ciepła w wysok</w:t>
      </w:r>
      <w:r>
        <w:rPr>
          <w:rFonts w:ascii="Arial" w:hAnsi="Arial" w:cs="Arial"/>
        </w:rPr>
        <w:t>osprawnej kogeneracji (300,2 mln euro),</w:t>
      </w:r>
    </w:p>
    <w:p w:rsidR="004352F1" w:rsidRPr="00171237" w:rsidRDefault="004352F1" w:rsidP="005232F8">
      <w:pPr>
        <w:numPr>
          <w:ilvl w:val="0"/>
          <w:numId w:val="6"/>
        </w:numPr>
        <w:autoSpaceDE w:val="0"/>
        <w:autoSpaceDN w:val="0"/>
        <w:adjustRightInd w:val="0"/>
        <w:spacing w:after="0" w:line="240" w:lineRule="auto"/>
        <w:ind w:left="0" w:firstLine="0"/>
        <w:rPr>
          <w:rFonts w:ascii="Arial" w:hAnsi="Arial" w:cs="Arial"/>
        </w:rPr>
      </w:pPr>
      <w:r w:rsidRPr="00171237">
        <w:rPr>
          <w:rFonts w:ascii="Arial" w:hAnsi="Arial" w:cs="Arial"/>
        </w:rPr>
        <w:t>wsparcie kolei aglomeracyjnej (</w:t>
      </w:r>
      <w:r>
        <w:rPr>
          <w:rFonts w:ascii="Arial" w:hAnsi="Arial" w:cs="Arial"/>
        </w:rPr>
        <w:t>1 440,4 mln euro</w:t>
      </w:r>
      <w:r w:rsidRPr="00171237">
        <w:rPr>
          <w:rFonts w:ascii="Arial" w:hAnsi="Arial" w:cs="Arial"/>
        </w:rPr>
        <w:t>).</w:t>
      </w:r>
    </w:p>
    <w:p w:rsidR="004352F1" w:rsidRPr="00F26F94" w:rsidRDefault="004352F1" w:rsidP="005232F8">
      <w:pPr>
        <w:autoSpaceDE w:val="0"/>
        <w:autoSpaceDN w:val="0"/>
        <w:adjustRightInd w:val="0"/>
        <w:spacing w:line="240" w:lineRule="auto"/>
        <w:rPr>
          <w:rFonts w:ascii="Arial" w:hAnsi="Arial" w:cs="Arial"/>
        </w:rPr>
      </w:pPr>
      <w:r w:rsidRPr="00171237">
        <w:rPr>
          <w:rFonts w:ascii="Arial" w:hAnsi="Arial" w:cs="Arial"/>
        </w:rPr>
        <w:t>W przypadku miast wojewódzkich i ich obszarów funkcjonalnych posiadających strategie ZIT będzi</w:t>
      </w:r>
      <w:r>
        <w:rPr>
          <w:rFonts w:ascii="Arial" w:hAnsi="Arial" w:cs="Arial"/>
        </w:rPr>
        <w:t xml:space="preserve">e stosowany tryb pozakonkursowy z </w:t>
      </w:r>
      <w:r w:rsidRPr="00171237">
        <w:rPr>
          <w:rFonts w:ascii="Arial" w:hAnsi="Arial" w:cs="Arial"/>
        </w:rPr>
        <w:t>wyłączeniem projektów kolei aglomeracyjnej</w:t>
      </w:r>
      <w:r>
        <w:rPr>
          <w:rFonts w:ascii="Arial" w:hAnsi="Arial" w:cs="Arial"/>
        </w:rPr>
        <w:t>, w stosunku do których będzie stosowany k</w:t>
      </w:r>
      <w:r w:rsidRPr="00F26F94">
        <w:rPr>
          <w:rFonts w:ascii="Arial" w:hAnsi="Arial" w:cs="Arial"/>
        </w:rPr>
        <w:t>onkursowy tryb wyboru spośród projektów zapisanych w Kontraktach Terytorialnyc</w:t>
      </w:r>
      <w:r>
        <w:rPr>
          <w:rFonts w:ascii="Arial" w:hAnsi="Arial" w:cs="Arial"/>
        </w:rPr>
        <w:t>h, z zastosowaniem p</w:t>
      </w:r>
      <w:r w:rsidRPr="00F26F94">
        <w:rPr>
          <w:rFonts w:ascii="Arial" w:hAnsi="Arial" w:cs="Arial"/>
        </w:rPr>
        <w:t>referencj</w:t>
      </w:r>
      <w:r>
        <w:rPr>
          <w:rFonts w:ascii="Arial" w:hAnsi="Arial" w:cs="Arial"/>
        </w:rPr>
        <w:t>i</w:t>
      </w:r>
      <w:r w:rsidRPr="00F26F94">
        <w:rPr>
          <w:rFonts w:ascii="Arial" w:hAnsi="Arial" w:cs="Arial"/>
        </w:rPr>
        <w:t xml:space="preserve"> dla projektów zidentyfikowanych w strategiach ZIT (dodatkowe punkty).</w:t>
      </w:r>
    </w:p>
    <w:p w:rsidR="004352F1" w:rsidRPr="00E54375" w:rsidRDefault="004352F1" w:rsidP="005232F8">
      <w:pPr>
        <w:autoSpaceDE w:val="0"/>
        <w:autoSpaceDN w:val="0"/>
        <w:adjustRightInd w:val="0"/>
        <w:spacing w:after="0" w:line="240" w:lineRule="auto"/>
        <w:rPr>
          <w:rFonts w:ascii="Arial" w:hAnsi="Arial" w:cs="Arial"/>
        </w:rPr>
      </w:pPr>
      <w:r>
        <w:rPr>
          <w:rFonts w:ascii="Arial" w:hAnsi="Arial" w:cs="Arial"/>
        </w:rPr>
        <w:t>Podczas szkolenia ciekawą prezentację wygłosił prof. Marek Kozak, który jako ekspert MIiR oceniał wszystkie Strategie ZIT opracowane dla Miejskich Obszarów Funkcjonalnych Miast Wojewódzkich. Dzieląc się swoimi opiniami i spostrzeżeniami, jako najczęściej występujące słabości ocenianych strategii wskazał:</w:t>
      </w:r>
    </w:p>
    <w:p w:rsidR="004352F1" w:rsidRPr="005D1984" w:rsidRDefault="004352F1" w:rsidP="005232F8">
      <w:pPr>
        <w:autoSpaceDE w:val="0"/>
        <w:autoSpaceDN w:val="0"/>
        <w:adjustRightInd w:val="0"/>
        <w:spacing w:after="0" w:line="240" w:lineRule="auto"/>
        <w:rPr>
          <w:rFonts w:ascii="Arial" w:hAnsi="Arial" w:cs="Arial"/>
        </w:rPr>
      </w:pPr>
      <w:r>
        <w:rPr>
          <w:rFonts w:ascii="Arial" w:hAnsi="Arial" w:cs="Arial"/>
        </w:rPr>
        <w:t>- w</w:t>
      </w:r>
      <w:r w:rsidRPr="005D1984">
        <w:rPr>
          <w:rFonts w:ascii="Arial" w:hAnsi="Arial" w:cs="Arial"/>
        </w:rPr>
        <w:t xml:space="preserve">ysoki indywidualizm </w:t>
      </w:r>
      <w:r>
        <w:rPr>
          <w:rFonts w:ascii="Arial" w:hAnsi="Arial" w:cs="Arial"/>
        </w:rPr>
        <w:t xml:space="preserve">członków i </w:t>
      </w:r>
      <w:r w:rsidRPr="005D1984">
        <w:rPr>
          <w:rFonts w:ascii="Arial" w:hAnsi="Arial" w:cs="Arial"/>
        </w:rPr>
        <w:t>nisk</w:t>
      </w:r>
      <w:r>
        <w:rPr>
          <w:rFonts w:ascii="Arial" w:hAnsi="Arial" w:cs="Arial"/>
        </w:rPr>
        <w:t>ą</w:t>
      </w:r>
      <w:r w:rsidRPr="005D1984">
        <w:rPr>
          <w:rFonts w:ascii="Arial" w:hAnsi="Arial" w:cs="Arial"/>
        </w:rPr>
        <w:t xml:space="preserve"> skłonność do współpracy</w:t>
      </w:r>
      <w:r>
        <w:rPr>
          <w:rFonts w:ascii="Arial" w:hAnsi="Arial" w:cs="Arial"/>
        </w:rPr>
        <w:t xml:space="preserve"> w </w:t>
      </w:r>
      <w:r w:rsidRPr="005D1984">
        <w:rPr>
          <w:rFonts w:ascii="Arial" w:hAnsi="Arial" w:cs="Arial"/>
        </w:rPr>
        <w:t>Związk</w:t>
      </w:r>
      <w:r>
        <w:rPr>
          <w:rFonts w:ascii="Arial" w:hAnsi="Arial" w:cs="Arial"/>
        </w:rPr>
        <w:t>ach</w:t>
      </w:r>
      <w:r w:rsidRPr="005D1984">
        <w:rPr>
          <w:rFonts w:ascii="Arial" w:hAnsi="Arial" w:cs="Arial"/>
        </w:rPr>
        <w:t xml:space="preserve"> ZIT;</w:t>
      </w:r>
    </w:p>
    <w:p w:rsidR="004352F1" w:rsidRPr="005D1984" w:rsidRDefault="004352F1" w:rsidP="005232F8">
      <w:pPr>
        <w:autoSpaceDE w:val="0"/>
        <w:autoSpaceDN w:val="0"/>
        <w:adjustRightInd w:val="0"/>
        <w:spacing w:after="0" w:line="240" w:lineRule="auto"/>
        <w:rPr>
          <w:rFonts w:ascii="Arial" w:hAnsi="Arial" w:cs="Arial"/>
        </w:rPr>
      </w:pPr>
      <w:r w:rsidRPr="005D1984">
        <w:rPr>
          <w:rFonts w:ascii="Arial" w:hAnsi="Arial" w:cs="Arial"/>
        </w:rPr>
        <w:t xml:space="preserve">- </w:t>
      </w:r>
      <w:r>
        <w:rPr>
          <w:rFonts w:ascii="Arial" w:hAnsi="Arial" w:cs="Arial"/>
        </w:rPr>
        <w:t xml:space="preserve">nadmierne </w:t>
      </w:r>
      <w:r w:rsidRPr="005D1984">
        <w:rPr>
          <w:rFonts w:ascii="Arial" w:hAnsi="Arial" w:cs="Arial"/>
        </w:rPr>
        <w:t xml:space="preserve">preferowanie </w:t>
      </w:r>
      <w:r>
        <w:rPr>
          <w:rFonts w:ascii="Arial" w:hAnsi="Arial" w:cs="Arial"/>
        </w:rPr>
        <w:t xml:space="preserve">w strategiach ZIT </w:t>
      </w:r>
      <w:r w:rsidRPr="005D1984">
        <w:rPr>
          <w:rFonts w:ascii="Arial" w:hAnsi="Arial" w:cs="Arial"/>
        </w:rPr>
        <w:t xml:space="preserve">projektów infrastrukturalnych; </w:t>
      </w:r>
    </w:p>
    <w:p w:rsidR="004352F1" w:rsidRPr="005D1984" w:rsidRDefault="004352F1" w:rsidP="005232F8">
      <w:pPr>
        <w:autoSpaceDE w:val="0"/>
        <w:autoSpaceDN w:val="0"/>
        <w:adjustRightInd w:val="0"/>
        <w:spacing w:after="0" w:line="240" w:lineRule="auto"/>
        <w:rPr>
          <w:rFonts w:ascii="Arial" w:hAnsi="Arial" w:cs="Arial"/>
        </w:rPr>
      </w:pPr>
      <w:r w:rsidRPr="005D1984">
        <w:rPr>
          <w:rFonts w:ascii="Arial" w:hAnsi="Arial" w:cs="Arial"/>
        </w:rPr>
        <w:t xml:space="preserve">- słabości logiki interwencji </w:t>
      </w:r>
      <w:r>
        <w:rPr>
          <w:rFonts w:ascii="Arial" w:hAnsi="Arial" w:cs="Arial"/>
        </w:rPr>
        <w:t xml:space="preserve">rozumianej jako spójność </w:t>
      </w:r>
      <w:r w:rsidRPr="005D1984">
        <w:rPr>
          <w:rFonts w:ascii="Arial" w:hAnsi="Arial" w:cs="Arial"/>
        </w:rPr>
        <w:t xml:space="preserve">diagnozy i </w:t>
      </w:r>
      <w:r>
        <w:rPr>
          <w:rFonts w:ascii="Arial" w:hAnsi="Arial" w:cs="Arial"/>
        </w:rPr>
        <w:t xml:space="preserve">analizy </w:t>
      </w:r>
      <w:r w:rsidRPr="005D1984">
        <w:rPr>
          <w:rFonts w:ascii="Arial" w:hAnsi="Arial" w:cs="Arial"/>
        </w:rPr>
        <w:t>SWOT z pr</w:t>
      </w:r>
      <w:r>
        <w:rPr>
          <w:rFonts w:ascii="Arial" w:hAnsi="Arial" w:cs="Arial"/>
        </w:rPr>
        <w:t xml:space="preserve">zyjętymi w strategii </w:t>
      </w:r>
      <w:r w:rsidRPr="005D1984">
        <w:rPr>
          <w:rFonts w:ascii="Arial" w:hAnsi="Arial" w:cs="Arial"/>
        </w:rPr>
        <w:t>ce</w:t>
      </w:r>
      <w:r>
        <w:rPr>
          <w:rFonts w:ascii="Arial" w:hAnsi="Arial" w:cs="Arial"/>
        </w:rPr>
        <w:t>lami, priorytetami, działaniami i projektami</w:t>
      </w:r>
      <w:r w:rsidRPr="005D1984">
        <w:rPr>
          <w:rFonts w:ascii="Arial" w:hAnsi="Arial" w:cs="Arial"/>
        </w:rPr>
        <w:t>;</w:t>
      </w:r>
    </w:p>
    <w:p w:rsidR="004352F1" w:rsidRPr="005D1984" w:rsidRDefault="004352F1" w:rsidP="005232F8">
      <w:pPr>
        <w:autoSpaceDE w:val="0"/>
        <w:autoSpaceDN w:val="0"/>
        <w:adjustRightInd w:val="0"/>
        <w:spacing w:after="0" w:line="240" w:lineRule="auto"/>
        <w:rPr>
          <w:rFonts w:ascii="Arial" w:hAnsi="Arial" w:cs="Arial"/>
        </w:rPr>
      </w:pPr>
      <w:r w:rsidRPr="005D1984">
        <w:rPr>
          <w:rFonts w:ascii="Arial" w:hAnsi="Arial" w:cs="Arial"/>
        </w:rPr>
        <w:t xml:space="preserve">- </w:t>
      </w:r>
      <w:r>
        <w:rPr>
          <w:rFonts w:ascii="Arial" w:hAnsi="Arial" w:cs="Arial"/>
        </w:rPr>
        <w:t xml:space="preserve">nadmiernie </w:t>
      </w:r>
      <w:r w:rsidRPr="005D1984">
        <w:rPr>
          <w:rFonts w:ascii="Arial" w:hAnsi="Arial" w:cs="Arial"/>
        </w:rPr>
        <w:t>rozbudowan</w:t>
      </w:r>
      <w:r>
        <w:rPr>
          <w:rFonts w:ascii="Arial" w:hAnsi="Arial" w:cs="Arial"/>
        </w:rPr>
        <w:t xml:space="preserve">e </w:t>
      </w:r>
      <w:r w:rsidRPr="005D1984">
        <w:rPr>
          <w:rFonts w:ascii="Arial" w:hAnsi="Arial" w:cs="Arial"/>
        </w:rPr>
        <w:t>diagnoz</w:t>
      </w:r>
      <w:r>
        <w:rPr>
          <w:rFonts w:ascii="Arial" w:hAnsi="Arial" w:cs="Arial"/>
        </w:rPr>
        <w:t>y obszaru w przypadkach</w:t>
      </w:r>
      <w:r w:rsidRPr="005D1984">
        <w:rPr>
          <w:rFonts w:ascii="Arial" w:hAnsi="Arial" w:cs="Arial"/>
        </w:rPr>
        <w:t xml:space="preserve">, </w:t>
      </w:r>
      <w:r>
        <w:rPr>
          <w:rFonts w:ascii="Arial" w:hAnsi="Arial" w:cs="Arial"/>
        </w:rPr>
        <w:t xml:space="preserve">gdy strategia </w:t>
      </w:r>
      <w:r w:rsidRPr="005D1984">
        <w:rPr>
          <w:rFonts w:ascii="Arial" w:hAnsi="Arial" w:cs="Arial"/>
        </w:rPr>
        <w:t>ZIT przewiduje ograniczoną liczbę celów tematycznych do realizacji;</w:t>
      </w:r>
    </w:p>
    <w:p w:rsidR="004352F1" w:rsidRPr="005D1984" w:rsidRDefault="004352F1" w:rsidP="005232F8">
      <w:pPr>
        <w:autoSpaceDE w:val="0"/>
        <w:autoSpaceDN w:val="0"/>
        <w:adjustRightInd w:val="0"/>
        <w:spacing w:after="0" w:line="240" w:lineRule="auto"/>
        <w:rPr>
          <w:rFonts w:ascii="Arial" w:hAnsi="Arial" w:cs="Arial"/>
        </w:rPr>
      </w:pPr>
      <w:r w:rsidRPr="005D1984">
        <w:rPr>
          <w:rFonts w:ascii="Arial" w:hAnsi="Arial" w:cs="Arial"/>
        </w:rPr>
        <w:t>- przewag</w:t>
      </w:r>
      <w:r>
        <w:rPr>
          <w:rFonts w:ascii="Arial" w:hAnsi="Arial" w:cs="Arial"/>
        </w:rPr>
        <w:t>ę</w:t>
      </w:r>
      <w:r w:rsidRPr="005D1984">
        <w:rPr>
          <w:rFonts w:ascii="Arial" w:hAnsi="Arial" w:cs="Arial"/>
        </w:rPr>
        <w:t xml:space="preserve"> w diagnozie analiz ilościowych nad jakościowymi;</w:t>
      </w:r>
    </w:p>
    <w:p w:rsidR="004352F1" w:rsidRPr="005D1984" w:rsidRDefault="004352F1" w:rsidP="005232F8">
      <w:pPr>
        <w:autoSpaceDE w:val="0"/>
        <w:autoSpaceDN w:val="0"/>
        <w:adjustRightInd w:val="0"/>
        <w:spacing w:after="0" w:line="240" w:lineRule="auto"/>
        <w:rPr>
          <w:rFonts w:ascii="Arial" w:hAnsi="Arial" w:cs="Arial"/>
        </w:rPr>
      </w:pPr>
      <w:r w:rsidRPr="005D1984">
        <w:rPr>
          <w:rFonts w:ascii="Arial" w:hAnsi="Arial" w:cs="Arial"/>
        </w:rPr>
        <w:t>- nazbyt rozbudowan</w:t>
      </w:r>
      <w:r>
        <w:rPr>
          <w:rFonts w:ascii="Arial" w:hAnsi="Arial" w:cs="Arial"/>
        </w:rPr>
        <w:t>e</w:t>
      </w:r>
      <w:r w:rsidRPr="005D1984">
        <w:rPr>
          <w:rFonts w:ascii="Arial" w:hAnsi="Arial" w:cs="Arial"/>
        </w:rPr>
        <w:t>, niekonkluzywn</w:t>
      </w:r>
      <w:r>
        <w:rPr>
          <w:rFonts w:ascii="Arial" w:hAnsi="Arial" w:cs="Arial"/>
        </w:rPr>
        <w:t>e</w:t>
      </w:r>
      <w:r w:rsidRPr="005D1984">
        <w:rPr>
          <w:rFonts w:ascii="Arial" w:hAnsi="Arial" w:cs="Arial"/>
        </w:rPr>
        <w:t xml:space="preserve">, a przez to </w:t>
      </w:r>
      <w:r>
        <w:rPr>
          <w:rFonts w:ascii="Arial" w:hAnsi="Arial" w:cs="Arial"/>
        </w:rPr>
        <w:t xml:space="preserve">mało </w:t>
      </w:r>
      <w:r w:rsidRPr="005D1984">
        <w:rPr>
          <w:rFonts w:ascii="Arial" w:hAnsi="Arial" w:cs="Arial"/>
        </w:rPr>
        <w:t>użyteczn</w:t>
      </w:r>
      <w:r>
        <w:rPr>
          <w:rFonts w:ascii="Arial" w:hAnsi="Arial" w:cs="Arial"/>
        </w:rPr>
        <w:t>e analizy SWOT</w:t>
      </w:r>
      <w:r w:rsidRPr="005D1984">
        <w:rPr>
          <w:rFonts w:ascii="Arial" w:hAnsi="Arial" w:cs="Arial"/>
        </w:rPr>
        <w:t>;</w:t>
      </w:r>
    </w:p>
    <w:p w:rsidR="004352F1" w:rsidRPr="005D1984" w:rsidRDefault="004352F1" w:rsidP="005232F8">
      <w:pPr>
        <w:autoSpaceDE w:val="0"/>
        <w:autoSpaceDN w:val="0"/>
        <w:adjustRightInd w:val="0"/>
        <w:spacing w:after="0" w:line="240" w:lineRule="auto"/>
        <w:rPr>
          <w:rFonts w:ascii="Arial" w:hAnsi="Arial" w:cs="Arial"/>
        </w:rPr>
      </w:pPr>
      <w:r w:rsidRPr="005D1984">
        <w:rPr>
          <w:rFonts w:ascii="Arial" w:hAnsi="Arial" w:cs="Arial"/>
        </w:rPr>
        <w:t>- nisk</w:t>
      </w:r>
      <w:r>
        <w:rPr>
          <w:rFonts w:ascii="Arial" w:hAnsi="Arial" w:cs="Arial"/>
        </w:rPr>
        <w:t>ą</w:t>
      </w:r>
      <w:r w:rsidRPr="005D1984">
        <w:rPr>
          <w:rFonts w:ascii="Arial" w:hAnsi="Arial" w:cs="Arial"/>
        </w:rPr>
        <w:t xml:space="preserve"> jakość lub brak uzasadnień dla w</w:t>
      </w:r>
      <w:r>
        <w:rPr>
          <w:rFonts w:ascii="Arial" w:hAnsi="Arial" w:cs="Arial"/>
        </w:rPr>
        <w:t>skazanych w strategii projektów</w:t>
      </w:r>
      <w:r w:rsidRPr="005D1984">
        <w:rPr>
          <w:rFonts w:ascii="Arial" w:hAnsi="Arial" w:cs="Arial"/>
        </w:rPr>
        <w:t xml:space="preserve">; </w:t>
      </w:r>
    </w:p>
    <w:p w:rsidR="004352F1" w:rsidRPr="005D1984" w:rsidRDefault="004352F1" w:rsidP="005232F8">
      <w:pPr>
        <w:autoSpaceDE w:val="0"/>
        <w:autoSpaceDN w:val="0"/>
        <w:adjustRightInd w:val="0"/>
        <w:spacing w:after="0" w:line="240" w:lineRule="auto"/>
        <w:rPr>
          <w:rFonts w:ascii="Arial" w:hAnsi="Arial" w:cs="Arial"/>
        </w:rPr>
      </w:pPr>
      <w:r w:rsidRPr="005D1984">
        <w:rPr>
          <w:rFonts w:ascii="Arial" w:hAnsi="Arial" w:cs="Arial"/>
        </w:rPr>
        <w:t>- skłonność do Mertonowskiego następstwa celów (zastępowania celów złożonych, trudnych przez łatwiejsze i prostsze w wykonaniu).</w:t>
      </w:r>
    </w:p>
    <w:p w:rsidR="004352F1" w:rsidRDefault="004352F1" w:rsidP="005232F8">
      <w:pPr>
        <w:autoSpaceDE w:val="0"/>
        <w:autoSpaceDN w:val="0"/>
        <w:adjustRightInd w:val="0"/>
        <w:spacing w:after="120" w:line="240" w:lineRule="auto"/>
        <w:rPr>
          <w:rFonts w:ascii="Arial" w:hAnsi="Arial" w:cs="Arial"/>
        </w:rPr>
      </w:pPr>
      <w:r>
        <w:rPr>
          <w:rFonts w:ascii="Arial" w:hAnsi="Arial" w:cs="Arial"/>
        </w:rPr>
        <w:t>Kończąc swoje wystąpienie prof. Kozak nawiązał do projektu rozporządzenia MIiR proponującego nowy sposób delimitacji Miejskich Obszarów Funkcjonalnych Ośrodków Wojewódzkich podkreślając, że d</w:t>
      </w:r>
      <w:r w:rsidRPr="00B74D25">
        <w:rPr>
          <w:rFonts w:ascii="Arial" w:hAnsi="Arial" w:cs="Arial"/>
        </w:rPr>
        <w:t>la uporządkowania i zintegrowania prac nowo powstająca koncepcja i delimitacja MOFOW winna być spójna z już stosowanymi zasadami wyznaczania i funkcjonowania 17 metropolitalnych O</w:t>
      </w:r>
      <w:r>
        <w:rPr>
          <w:rFonts w:ascii="Arial" w:hAnsi="Arial" w:cs="Arial"/>
        </w:rPr>
        <w:t xml:space="preserve">bszarów </w:t>
      </w:r>
      <w:r w:rsidRPr="00B74D25">
        <w:rPr>
          <w:rFonts w:ascii="Arial" w:hAnsi="Arial" w:cs="Arial"/>
        </w:rPr>
        <w:t>F</w:t>
      </w:r>
      <w:r>
        <w:rPr>
          <w:rFonts w:ascii="Arial" w:hAnsi="Arial" w:cs="Arial"/>
        </w:rPr>
        <w:t>unkcjonalnych</w:t>
      </w:r>
      <w:r w:rsidRPr="00B74D25">
        <w:rPr>
          <w:rFonts w:ascii="Arial" w:hAnsi="Arial" w:cs="Arial"/>
        </w:rPr>
        <w:t xml:space="preserve"> ZIT</w:t>
      </w:r>
      <w:r>
        <w:rPr>
          <w:rFonts w:ascii="Arial" w:hAnsi="Arial" w:cs="Arial"/>
        </w:rPr>
        <w:t>.</w:t>
      </w:r>
    </w:p>
    <w:p w:rsidR="004352F1" w:rsidRDefault="004352F1" w:rsidP="005232F8">
      <w:pPr>
        <w:autoSpaceDE w:val="0"/>
        <w:autoSpaceDN w:val="0"/>
        <w:adjustRightInd w:val="0"/>
        <w:spacing w:after="120" w:line="240" w:lineRule="auto"/>
        <w:rPr>
          <w:rFonts w:ascii="Arial" w:hAnsi="Arial" w:cs="Arial"/>
          <w:bCs/>
          <w:iCs/>
        </w:rPr>
      </w:pPr>
      <w:r w:rsidRPr="00A5731B">
        <w:rPr>
          <w:rFonts w:ascii="Arial" w:hAnsi="Arial" w:cs="Arial"/>
        </w:rPr>
        <w:t>Europejską perspektywę</w:t>
      </w:r>
      <w:r>
        <w:rPr>
          <w:rFonts w:ascii="Arial" w:hAnsi="Arial" w:cs="Arial"/>
        </w:rPr>
        <w:t xml:space="preserve"> podejścia ZIT przedstawiła</w:t>
      </w:r>
      <w:r w:rsidRPr="00A5731B">
        <w:rPr>
          <w:rFonts w:ascii="Arial" w:hAnsi="Arial" w:cs="Arial"/>
        </w:rPr>
        <w:t xml:space="preserve"> Maj</w:t>
      </w:r>
      <w:r>
        <w:rPr>
          <w:rFonts w:ascii="Arial" w:hAnsi="Arial" w:cs="Arial"/>
        </w:rPr>
        <w:t>a</w:t>
      </w:r>
      <w:r w:rsidRPr="00A5731B">
        <w:rPr>
          <w:rFonts w:ascii="Arial" w:hAnsi="Arial" w:cs="Arial"/>
        </w:rPr>
        <w:t xml:space="preserve"> Łukaszewska-Krawiec z </w:t>
      </w:r>
      <w:r>
        <w:rPr>
          <w:rFonts w:ascii="Arial" w:hAnsi="Arial" w:cs="Arial"/>
          <w:bCs/>
          <w:iCs/>
        </w:rPr>
        <w:t>Dyrekcji</w:t>
      </w:r>
      <w:r w:rsidRPr="00A5731B">
        <w:rPr>
          <w:rFonts w:ascii="Arial" w:hAnsi="Arial" w:cs="Arial"/>
          <w:bCs/>
          <w:iCs/>
        </w:rPr>
        <w:t xml:space="preserve"> Generaln</w:t>
      </w:r>
      <w:r>
        <w:rPr>
          <w:rFonts w:ascii="Arial" w:hAnsi="Arial" w:cs="Arial"/>
          <w:bCs/>
          <w:iCs/>
        </w:rPr>
        <w:t>ej</w:t>
      </w:r>
      <w:r w:rsidRPr="00A5731B">
        <w:rPr>
          <w:rFonts w:ascii="Arial" w:hAnsi="Arial" w:cs="Arial"/>
          <w:bCs/>
          <w:iCs/>
        </w:rPr>
        <w:t xml:space="preserve"> ds. polityki regionalnej i miejskiej</w:t>
      </w:r>
      <w:r>
        <w:rPr>
          <w:rFonts w:ascii="Arial" w:hAnsi="Arial" w:cs="Arial"/>
          <w:bCs/>
          <w:iCs/>
        </w:rPr>
        <w:t xml:space="preserve">. Szacunkowe dane, którymi dysponuje DG Regio wskazują, że w skali całej Unii Europejskiej kwota zaprogramowana na wsparcie zrównoważonego rozwoju obszarów miejskich wyniesie 16,5 mld euro. W kwotach bezwzględnych Polska ma największą wśród krajów członkowskich alokację na podejście ZIT wynoszącą 3,12 mld euro (co wynika z faktu, że Polska ma największą alokację z funduszu EFRR), następna z kolei Rumunia przeznaczyła na ten cel 2,72 mld euro, Czechy 1,48 mld euro, Włochy 1,19 mld euro i Estonia 1,14 euro. Jeżeli odnieść alokację na ZIT do całości krajowych środków z EFRR, to zdecydowanie przoduje Rumunia, która przeznaczyła na ZIT 25% funduszy EFRR. Kolejne miejsca zajmują Cypr i Bułgaria (około 20%), Belgia (15%) i Czechy (12%). Polska, która na ZIT przeznaczyła około 8% krajowej alokacji EFRR zajmuje w tym rankingu miejsce poza pierwszą dziesiątką. Warto wiedzieć, że trzy kraje członkowskie zdecydowały się na wdrażanie specjalnych programów operacyjnych dedykowanych </w:t>
      </w:r>
      <w:r w:rsidRPr="00723A38">
        <w:rPr>
          <w:rFonts w:ascii="Arial" w:hAnsi="Arial" w:cs="Arial"/>
        </w:rPr>
        <w:t xml:space="preserve">wyłącznie realizacji </w:t>
      </w:r>
      <w:r>
        <w:rPr>
          <w:rFonts w:ascii="Arial" w:hAnsi="Arial" w:cs="Arial"/>
        </w:rPr>
        <w:t xml:space="preserve">podejścia ZIT </w:t>
      </w:r>
      <w:r w:rsidRPr="00723A38">
        <w:rPr>
          <w:rFonts w:ascii="Arial" w:hAnsi="Arial" w:cs="Arial"/>
        </w:rPr>
        <w:t>(</w:t>
      </w:r>
      <w:r>
        <w:rPr>
          <w:rFonts w:ascii="Arial" w:hAnsi="Arial" w:cs="Arial"/>
          <w:bCs/>
          <w:iCs/>
        </w:rPr>
        <w:t xml:space="preserve">Belgia, Szwecja i Włochy). </w:t>
      </w:r>
    </w:p>
    <w:p w:rsidR="004352F1" w:rsidRDefault="004352F1" w:rsidP="005232F8">
      <w:pPr>
        <w:autoSpaceDE w:val="0"/>
        <w:autoSpaceDN w:val="0"/>
        <w:adjustRightInd w:val="0"/>
        <w:spacing w:after="120" w:line="240" w:lineRule="auto"/>
        <w:rPr>
          <w:rFonts w:ascii="Arial" w:hAnsi="Arial" w:cs="Arial"/>
        </w:rPr>
      </w:pPr>
      <w:r>
        <w:rPr>
          <w:rFonts w:ascii="Arial" w:hAnsi="Arial" w:cs="Arial"/>
          <w:bCs/>
          <w:iCs/>
        </w:rPr>
        <w:t>Dla obecnych na szkoleniu Związków ZIT funkcjonujących w luźnej formule partnerstwa opartego o porozumienie ważne było wystąpienie Doroty Chlebosz, dyrektora Departamentu Prawnego MIiR, która omawiała problem formy prawnej Związku ZIT w kontekście pełnienia funkcji Instytucji Pośredniczącej. Jako optymalną formę prawną pani dyrektor wskazała stowarzyszenie. Z tego punktu widzenia dokonana kilka lat temu instytucjonalizacja partnerstwa działającego w obrębie Metropolii Poznań okazała się rozwiązaniem idealnym.</w:t>
      </w:r>
    </w:p>
    <w:p w:rsidR="004352F1" w:rsidRDefault="004352F1" w:rsidP="005232F8">
      <w:pPr>
        <w:autoSpaceDE w:val="0"/>
        <w:autoSpaceDN w:val="0"/>
        <w:adjustRightInd w:val="0"/>
        <w:spacing w:after="120" w:line="240" w:lineRule="auto"/>
        <w:rPr>
          <w:rFonts w:ascii="Arial" w:hAnsi="Arial" w:cs="Arial"/>
        </w:rPr>
      </w:pPr>
      <w:r>
        <w:rPr>
          <w:rFonts w:ascii="Arial" w:hAnsi="Arial" w:cs="Arial"/>
        </w:rPr>
        <w:t>Szkolenie zostało ocenione przez uczestników jako ważny krok w przygotowaniach do realizacji podejścia ZIT w Polsce. Pokazało jednocześnie, jak wiele trzeba jeszcze zrobić, aby pieniądze unijne zaczęły zasilać projekty przewidziane do realizacji w ramach strategii ZIT.</w:t>
      </w:r>
    </w:p>
    <w:p w:rsidR="004352F1" w:rsidRDefault="004352F1" w:rsidP="005232F8">
      <w:pPr>
        <w:autoSpaceDE w:val="0"/>
        <w:autoSpaceDN w:val="0"/>
        <w:adjustRightInd w:val="0"/>
        <w:spacing w:after="120" w:line="240" w:lineRule="auto"/>
        <w:rPr>
          <w:rFonts w:ascii="Arial" w:hAnsi="Arial" w:cs="Arial"/>
        </w:rPr>
      </w:pPr>
    </w:p>
    <w:p w:rsidR="004352F1" w:rsidRDefault="004352F1" w:rsidP="005232F8">
      <w:pPr>
        <w:autoSpaceDE w:val="0"/>
        <w:autoSpaceDN w:val="0"/>
        <w:adjustRightInd w:val="0"/>
        <w:spacing w:after="120" w:line="240" w:lineRule="auto"/>
        <w:rPr>
          <w:rFonts w:ascii="Arial" w:hAnsi="Arial" w:cs="Arial"/>
        </w:rPr>
      </w:pPr>
    </w:p>
    <w:p w:rsidR="004352F1" w:rsidRDefault="004352F1" w:rsidP="005232F8">
      <w:pPr>
        <w:autoSpaceDE w:val="0"/>
        <w:autoSpaceDN w:val="0"/>
        <w:adjustRightInd w:val="0"/>
        <w:spacing w:after="120" w:line="240" w:lineRule="auto"/>
        <w:rPr>
          <w:rFonts w:ascii="Arial" w:hAnsi="Arial" w:cs="Arial"/>
        </w:rPr>
      </w:pPr>
    </w:p>
    <w:p w:rsidR="004352F1" w:rsidRDefault="004352F1" w:rsidP="005232F8">
      <w:pPr>
        <w:autoSpaceDE w:val="0"/>
        <w:autoSpaceDN w:val="0"/>
        <w:adjustRightInd w:val="0"/>
        <w:spacing w:after="120" w:line="240" w:lineRule="auto"/>
        <w:rPr>
          <w:rFonts w:ascii="Arial" w:hAnsi="Arial" w:cs="Arial"/>
        </w:rPr>
      </w:pPr>
    </w:p>
    <w:p w:rsidR="004352F1" w:rsidRDefault="004352F1" w:rsidP="005232F8">
      <w:pPr>
        <w:autoSpaceDE w:val="0"/>
        <w:autoSpaceDN w:val="0"/>
        <w:adjustRightInd w:val="0"/>
        <w:spacing w:after="120" w:line="240" w:lineRule="auto"/>
        <w:rPr>
          <w:rFonts w:ascii="Arial" w:hAnsi="Arial" w:cs="Arial"/>
        </w:rPr>
      </w:pPr>
    </w:p>
    <w:p w:rsidR="004352F1" w:rsidRPr="00C847F5" w:rsidRDefault="004352F1" w:rsidP="005232F8">
      <w:pPr>
        <w:autoSpaceDE w:val="0"/>
        <w:autoSpaceDN w:val="0"/>
        <w:adjustRightInd w:val="0"/>
        <w:spacing w:after="120" w:line="240" w:lineRule="auto"/>
        <w:rPr>
          <w:rFonts w:ascii="Arial" w:hAnsi="Arial" w:cs="Arial"/>
        </w:rPr>
      </w:pPr>
    </w:p>
    <w:p w:rsidR="004352F1" w:rsidRDefault="004352F1" w:rsidP="005232F8"/>
    <w:sectPr w:rsidR="004352F1" w:rsidSect="003318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490C"/>
    <w:multiLevelType w:val="hybridMultilevel"/>
    <w:tmpl w:val="366E95B8"/>
    <w:lvl w:ilvl="0" w:tplc="607835EE">
      <w:start w:val="1"/>
      <w:numFmt w:val="bullet"/>
      <w:lvlText w:val=""/>
      <w:lvlJc w:val="left"/>
      <w:pPr>
        <w:tabs>
          <w:tab w:val="num" w:pos="720"/>
        </w:tabs>
        <w:ind w:left="720" w:hanging="360"/>
      </w:pPr>
      <w:rPr>
        <w:rFonts w:ascii="Wingdings" w:hAnsi="Wingdings" w:hint="default"/>
      </w:rPr>
    </w:lvl>
    <w:lvl w:ilvl="1" w:tplc="6298F5F4" w:tentative="1">
      <w:start w:val="1"/>
      <w:numFmt w:val="bullet"/>
      <w:lvlText w:val=""/>
      <w:lvlJc w:val="left"/>
      <w:pPr>
        <w:tabs>
          <w:tab w:val="num" w:pos="1440"/>
        </w:tabs>
        <w:ind w:left="1440" w:hanging="360"/>
      </w:pPr>
      <w:rPr>
        <w:rFonts w:ascii="Wingdings" w:hAnsi="Wingdings" w:hint="default"/>
      </w:rPr>
    </w:lvl>
    <w:lvl w:ilvl="2" w:tplc="21CE4064" w:tentative="1">
      <w:start w:val="1"/>
      <w:numFmt w:val="bullet"/>
      <w:lvlText w:val=""/>
      <w:lvlJc w:val="left"/>
      <w:pPr>
        <w:tabs>
          <w:tab w:val="num" w:pos="2160"/>
        </w:tabs>
        <w:ind w:left="2160" w:hanging="360"/>
      </w:pPr>
      <w:rPr>
        <w:rFonts w:ascii="Wingdings" w:hAnsi="Wingdings" w:hint="default"/>
      </w:rPr>
    </w:lvl>
    <w:lvl w:ilvl="3" w:tplc="B8F6259E" w:tentative="1">
      <w:start w:val="1"/>
      <w:numFmt w:val="bullet"/>
      <w:lvlText w:val=""/>
      <w:lvlJc w:val="left"/>
      <w:pPr>
        <w:tabs>
          <w:tab w:val="num" w:pos="2880"/>
        </w:tabs>
        <w:ind w:left="2880" w:hanging="360"/>
      </w:pPr>
      <w:rPr>
        <w:rFonts w:ascii="Wingdings" w:hAnsi="Wingdings" w:hint="default"/>
      </w:rPr>
    </w:lvl>
    <w:lvl w:ilvl="4" w:tplc="AC42FA3A" w:tentative="1">
      <w:start w:val="1"/>
      <w:numFmt w:val="bullet"/>
      <w:lvlText w:val=""/>
      <w:lvlJc w:val="left"/>
      <w:pPr>
        <w:tabs>
          <w:tab w:val="num" w:pos="3600"/>
        </w:tabs>
        <w:ind w:left="3600" w:hanging="360"/>
      </w:pPr>
      <w:rPr>
        <w:rFonts w:ascii="Wingdings" w:hAnsi="Wingdings" w:hint="default"/>
      </w:rPr>
    </w:lvl>
    <w:lvl w:ilvl="5" w:tplc="0FD4780C" w:tentative="1">
      <w:start w:val="1"/>
      <w:numFmt w:val="bullet"/>
      <w:lvlText w:val=""/>
      <w:lvlJc w:val="left"/>
      <w:pPr>
        <w:tabs>
          <w:tab w:val="num" w:pos="4320"/>
        </w:tabs>
        <w:ind w:left="4320" w:hanging="360"/>
      </w:pPr>
      <w:rPr>
        <w:rFonts w:ascii="Wingdings" w:hAnsi="Wingdings" w:hint="default"/>
      </w:rPr>
    </w:lvl>
    <w:lvl w:ilvl="6" w:tplc="FC444CC2" w:tentative="1">
      <w:start w:val="1"/>
      <w:numFmt w:val="bullet"/>
      <w:lvlText w:val=""/>
      <w:lvlJc w:val="left"/>
      <w:pPr>
        <w:tabs>
          <w:tab w:val="num" w:pos="5040"/>
        </w:tabs>
        <w:ind w:left="5040" w:hanging="360"/>
      </w:pPr>
      <w:rPr>
        <w:rFonts w:ascii="Wingdings" w:hAnsi="Wingdings" w:hint="default"/>
      </w:rPr>
    </w:lvl>
    <w:lvl w:ilvl="7" w:tplc="2FAC6130" w:tentative="1">
      <w:start w:val="1"/>
      <w:numFmt w:val="bullet"/>
      <w:lvlText w:val=""/>
      <w:lvlJc w:val="left"/>
      <w:pPr>
        <w:tabs>
          <w:tab w:val="num" w:pos="5760"/>
        </w:tabs>
        <w:ind w:left="5760" w:hanging="360"/>
      </w:pPr>
      <w:rPr>
        <w:rFonts w:ascii="Wingdings" w:hAnsi="Wingdings" w:hint="default"/>
      </w:rPr>
    </w:lvl>
    <w:lvl w:ilvl="8" w:tplc="05365B7A" w:tentative="1">
      <w:start w:val="1"/>
      <w:numFmt w:val="bullet"/>
      <w:lvlText w:val=""/>
      <w:lvlJc w:val="left"/>
      <w:pPr>
        <w:tabs>
          <w:tab w:val="num" w:pos="6480"/>
        </w:tabs>
        <w:ind w:left="6480" w:hanging="360"/>
      </w:pPr>
      <w:rPr>
        <w:rFonts w:ascii="Wingdings" w:hAnsi="Wingdings" w:hint="default"/>
      </w:rPr>
    </w:lvl>
  </w:abstractNum>
  <w:abstractNum w:abstractNumId="1">
    <w:nsid w:val="0FA01C93"/>
    <w:multiLevelType w:val="hybridMultilevel"/>
    <w:tmpl w:val="E4424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BEB1FDC"/>
    <w:multiLevelType w:val="hybridMultilevel"/>
    <w:tmpl w:val="FF2E0CAE"/>
    <w:lvl w:ilvl="0" w:tplc="C3C4EE26">
      <w:start w:val="1"/>
      <w:numFmt w:val="bullet"/>
      <w:lvlText w:val=""/>
      <w:lvlJc w:val="left"/>
      <w:pPr>
        <w:tabs>
          <w:tab w:val="num" w:pos="720"/>
        </w:tabs>
        <w:ind w:left="720" w:hanging="360"/>
      </w:pPr>
      <w:rPr>
        <w:rFonts w:ascii="Wingdings" w:hAnsi="Wingdings" w:hint="default"/>
      </w:rPr>
    </w:lvl>
    <w:lvl w:ilvl="1" w:tplc="E5160BAE" w:tentative="1">
      <w:start w:val="1"/>
      <w:numFmt w:val="bullet"/>
      <w:lvlText w:val=""/>
      <w:lvlJc w:val="left"/>
      <w:pPr>
        <w:tabs>
          <w:tab w:val="num" w:pos="1440"/>
        </w:tabs>
        <w:ind w:left="1440" w:hanging="360"/>
      </w:pPr>
      <w:rPr>
        <w:rFonts w:ascii="Wingdings" w:hAnsi="Wingdings" w:hint="default"/>
      </w:rPr>
    </w:lvl>
    <w:lvl w:ilvl="2" w:tplc="6CA0B7D0" w:tentative="1">
      <w:start w:val="1"/>
      <w:numFmt w:val="bullet"/>
      <w:lvlText w:val=""/>
      <w:lvlJc w:val="left"/>
      <w:pPr>
        <w:tabs>
          <w:tab w:val="num" w:pos="2160"/>
        </w:tabs>
        <w:ind w:left="2160" w:hanging="360"/>
      </w:pPr>
      <w:rPr>
        <w:rFonts w:ascii="Wingdings" w:hAnsi="Wingdings" w:hint="default"/>
      </w:rPr>
    </w:lvl>
    <w:lvl w:ilvl="3" w:tplc="3B8014CA" w:tentative="1">
      <w:start w:val="1"/>
      <w:numFmt w:val="bullet"/>
      <w:lvlText w:val=""/>
      <w:lvlJc w:val="left"/>
      <w:pPr>
        <w:tabs>
          <w:tab w:val="num" w:pos="2880"/>
        </w:tabs>
        <w:ind w:left="2880" w:hanging="360"/>
      </w:pPr>
      <w:rPr>
        <w:rFonts w:ascii="Wingdings" w:hAnsi="Wingdings" w:hint="default"/>
      </w:rPr>
    </w:lvl>
    <w:lvl w:ilvl="4" w:tplc="FC06287A" w:tentative="1">
      <w:start w:val="1"/>
      <w:numFmt w:val="bullet"/>
      <w:lvlText w:val=""/>
      <w:lvlJc w:val="left"/>
      <w:pPr>
        <w:tabs>
          <w:tab w:val="num" w:pos="3600"/>
        </w:tabs>
        <w:ind w:left="3600" w:hanging="360"/>
      </w:pPr>
      <w:rPr>
        <w:rFonts w:ascii="Wingdings" w:hAnsi="Wingdings" w:hint="default"/>
      </w:rPr>
    </w:lvl>
    <w:lvl w:ilvl="5" w:tplc="18F0F5B6" w:tentative="1">
      <w:start w:val="1"/>
      <w:numFmt w:val="bullet"/>
      <w:lvlText w:val=""/>
      <w:lvlJc w:val="left"/>
      <w:pPr>
        <w:tabs>
          <w:tab w:val="num" w:pos="4320"/>
        </w:tabs>
        <w:ind w:left="4320" w:hanging="360"/>
      </w:pPr>
      <w:rPr>
        <w:rFonts w:ascii="Wingdings" w:hAnsi="Wingdings" w:hint="default"/>
      </w:rPr>
    </w:lvl>
    <w:lvl w:ilvl="6" w:tplc="FA9A8588" w:tentative="1">
      <w:start w:val="1"/>
      <w:numFmt w:val="bullet"/>
      <w:lvlText w:val=""/>
      <w:lvlJc w:val="left"/>
      <w:pPr>
        <w:tabs>
          <w:tab w:val="num" w:pos="5040"/>
        </w:tabs>
        <w:ind w:left="5040" w:hanging="360"/>
      </w:pPr>
      <w:rPr>
        <w:rFonts w:ascii="Wingdings" w:hAnsi="Wingdings" w:hint="default"/>
      </w:rPr>
    </w:lvl>
    <w:lvl w:ilvl="7" w:tplc="5AEA3E36" w:tentative="1">
      <w:start w:val="1"/>
      <w:numFmt w:val="bullet"/>
      <w:lvlText w:val=""/>
      <w:lvlJc w:val="left"/>
      <w:pPr>
        <w:tabs>
          <w:tab w:val="num" w:pos="5760"/>
        </w:tabs>
        <w:ind w:left="5760" w:hanging="360"/>
      </w:pPr>
      <w:rPr>
        <w:rFonts w:ascii="Wingdings" w:hAnsi="Wingdings" w:hint="default"/>
      </w:rPr>
    </w:lvl>
    <w:lvl w:ilvl="8" w:tplc="ED427E9E" w:tentative="1">
      <w:start w:val="1"/>
      <w:numFmt w:val="bullet"/>
      <w:lvlText w:val=""/>
      <w:lvlJc w:val="left"/>
      <w:pPr>
        <w:tabs>
          <w:tab w:val="num" w:pos="6480"/>
        </w:tabs>
        <w:ind w:left="6480" w:hanging="360"/>
      </w:pPr>
      <w:rPr>
        <w:rFonts w:ascii="Wingdings" w:hAnsi="Wingdings" w:hint="default"/>
      </w:rPr>
    </w:lvl>
  </w:abstractNum>
  <w:abstractNum w:abstractNumId="3">
    <w:nsid w:val="2E327D09"/>
    <w:multiLevelType w:val="hybridMultilevel"/>
    <w:tmpl w:val="DEC614A2"/>
    <w:lvl w:ilvl="0" w:tplc="04150001">
      <w:start w:val="1"/>
      <w:numFmt w:val="bullet"/>
      <w:lvlText w:val=""/>
      <w:lvlJc w:val="left"/>
      <w:pPr>
        <w:ind w:left="720" w:hanging="360"/>
      </w:pPr>
      <w:rPr>
        <w:rFonts w:ascii="Symbol" w:hAnsi="Symbol"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80027C1"/>
    <w:multiLevelType w:val="hybridMultilevel"/>
    <w:tmpl w:val="C75464DE"/>
    <w:lvl w:ilvl="0" w:tplc="F04C4D64">
      <w:start w:val="1"/>
      <w:numFmt w:val="bullet"/>
      <w:lvlText w:val="•"/>
      <w:lvlJc w:val="left"/>
      <w:pPr>
        <w:tabs>
          <w:tab w:val="num" w:pos="720"/>
        </w:tabs>
        <w:ind w:left="720" w:hanging="360"/>
      </w:pPr>
      <w:rPr>
        <w:rFonts w:ascii="Arial" w:hAnsi="Arial" w:hint="default"/>
      </w:rPr>
    </w:lvl>
    <w:lvl w:ilvl="1" w:tplc="466AB506" w:tentative="1">
      <w:start w:val="1"/>
      <w:numFmt w:val="bullet"/>
      <w:lvlText w:val="•"/>
      <w:lvlJc w:val="left"/>
      <w:pPr>
        <w:tabs>
          <w:tab w:val="num" w:pos="1440"/>
        </w:tabs>
        <w:ind w:left="1440" w:hanging="360"/>
      </w:pPr>
      <w:rPr>
        <w:rFonts w:ascii="Arial" w:hAnsi="Arial" w:hint="default"/>
      </w:rPr>
    </w:lvl>
    <w:lvl w:ilvl="2" w:tplc="155A80EE" w:tentative="1">
      <w:start w:val="1"/>
      <w:numFmt w:val="bullet"/>
      <w:lvlText w:val="•"/>
      <w:lvlJc w:val="left"/>
      <w:pPr>
        <w:tabs>
          <w:tab w:val="num" w:pos="2160"/>
        </w:tabs>
        <w:ind w:left="2160" w:hanging="360"/>
      </w:pPr>
      <w:rPr>
        <w:rFonts w:ascii="Arial" w:hAnsi="Arial" w:hint="default"/>
      </w:rPr>
    </w:lvl>
    <w:lvl w:ilvl="3" w:tplc="90D47764" w:tentative="1">
      <w:start w:val="1"/>
      <w:numFmt w:val="bullet"/>
      <w:lvlText w:val="•"/>
      <w:lvlJc w:val="left"/>
      <w:pPr>
        <w:tabs>
          <w:tab w:val="num" w:pos="2880"/>
        </w:tabs>
        <w:ind w:left="2880" w:hanging="360"/>
      </w:pPr>
      <w:rPr>
        <w:rFonts w:ascii="Arial" w:hAnsi="Arial" w:hint="default"/>
      </w:rPr>
    </w:lvl>
    <w:lvl w:ilvl="4" w:tplc="A0A8D90C" w:tentative="1">
      <w:start w:val="1"/>
      <w:numFmt w:val="bullet"/>
      <w:lvlText w:val="•"/>
      <w:lvlJc w:val="left"/>
      <w:pPr>
        <w:tabs>
          <w:tab w:val="num" w:pos="3600"/>
        </w:tabs>
        <w:ind w:left="3600" w:hanging="360"/>
      </w:pPr>
      <w:rPr>
        <w:rFonts w:ascii="Arial" w:hAnsi="Arial" w:hint="default"/>
      </w:rPr>
    </w:lvl>
    <w:lvl w:ilvl="5" w:tplc="3D66023C" w:tentative="1">
      <w:start w:val="1"/>
      <w:numFmt w:val="bullet"/>
      <w:lvlText w:val="•"/>
      <w:lvlJc w:val="left"/>
      <w:pPr>
        <w:tabs>
          <w:tab w:val="num" w:pos="4320"/>
        </w:tabs>
        <w:ind w:left="4320" w:hanging="360"/>
      </w:pPr>
      <w:rPr>
        <w:rFonts w:ascii="Arial" w:hAnsi="Arial" w:hint="default"/>
      </w:rPr>
    </w:lvl>
    <w:lvl w:ilvl="6" w:tplc="18164880" w:tentative="1">
      <w:start w:val="1"/>
      <w:numFmt w:val="bullet"/>
      <w:lvlText w:val="•"/>
      <w:lvlJc w:val="left"/>
      <w:pPr>
        <w:tabs>
          <w:tab w:val="num" w:pos="5040"/>
        </w:tabs>
        <w:ind w:left="5040" w:hanging="360"/>
      </w:pPr>
      <w:rPr>
        <w:rFonts w:ascii="Arial" w:hAnsi="Arial" w:hint="default"/>
      </w:rPr>
    </w:lvl>
    <w:lvl w:ilvl="7" w:tplc="C9207E78" w:tentative="1">
      <w:start w:val="1"/>
      <w:numFmt w:val="bullet"/>
      <w:lvlText w:val="•"/>
      <w:lvlJc w:val="left"/>
      <w:pPr>
        <w:tabs>
          <w:tab w:val="num" w:pos="5760"/>
        </w:tabs>
        <w:ind w:left="5760" w:hanging="360"/>
      </w:pPr>
      <w:rPr>
        <w:rFonts w:ascii="Arial" w:hAnsi="Arial" w:hint="default"/>
      </w:rPr>
    </w:lvl>
    <w:lvl w:ilvl="8" w:tplc="237E2408" w:tentative="1">
      <w:start w:val="1"/>
      <w:numFmt w:val="bullet"/>
      <w:lvlText w:val="•"/>
      <w:lvlJc w:val="left"/>
      <w:pPr>
        <w:tabs>
          <w:tab w:val="num" w:pos="6480"/>
        </w:tabs>
        <w:ind w:left="6480" w:hanging="360"/>
      </w:pPr>
      <w:rPr>
        <w:rFonts w:ascii="Arial" w:hAnsi="Arial" w:hint="default"/>
      </w:rPr>
    </w:lvl>
  </w:abstractNum>
  <w:abstractNum w:abstractNumId="5">
    <w:nsid w:val="3AC26C9B"/>
    <w:multiLevelType w:val="hybridMultilevel"/>
    <w:tmpl w:val="715AE4D8"/>
    <w:lvl w:ilvl="0" w:tplc="D2F49AD0">
      <w:start w:val="1"/>
      <w:numFmt w:val="bullet"/>
      <w:lvlText w:val=""/>
      <w:lvlJc w:val="left"/>
      <w:pPr>
        <w:tabs>
          <w:tab w:val="num" w:pos="720"/>
        </w:tabs>
        <w:ind w:left="720" w:hanging="360"/>
      </w:pPr>
      <w:rPr>
        <w:rFonts w:ascii="Wingdings" w:hAnsi="Wingdings" w:hint="default"/>
      </w:rPr>
    </w:lvl>
    <w:lvl w:ilvl="1" w:tplc="C702411E" w:tentative="1">
      <w:start w:val="1"/>
      <w:numFmt w:val="bullet"/>
      <w:lvlText w:val=""/>
      <w:lvlJc w:val="left"/>
      <w:pPr>
        <w:tabs>
          <w:tab w:val="num" w:pos="1440"/>
        </w:tabs>
        <w:ind w:left="1440" w:hanging="360"/>
      </w:pPr>
      <w:rPr>
        <w:rFonts w:ascii="Wingdings" w:hAnsi="Wingdings" w:hint="default"/>
      </w:rPr>
    </w:lvl>
    <w:lvl w:ilvl="2" w:tplc="A282DB04" w:tentative="1">
      <w:start w:val="1"/>
      <w:numFmt w:val="bullet"/>
      <w:lvlText w:val=""/>
      <w:lvlJc w:val="left"/>
      <w:pPr>
        <w:tabs>
          <w:tab w:val="num" w:pos="2160"/>
        </w:tabs>
        <w:ind w:left="2160" w:hanging="360"/>
      </w:pPr>
      <w:rPr>
        <w:rFonts w:ascii="Wingdings" w:hAnsi="Wingdings" w:hint="default"/>
      </w:rPr>
    </w:lvl>
    <w:lvl w:ilvl="3" w:tplc="E9AAE156" w:tentative="1">
      <w:start w:val="1"/>
      <w:numFmt w:val="bullet"/>
      <w:lvlText w:val=""/>
      <w:lvlJc w:val="left"/>
      <w:pPr>
        <w:tabs>
          <w:tab w:val="num" w:pos="2880"/>
        </w:tabs>
        <w:ind w:left="2880" w:hanging="360"/>
      </w:pPr>
      <w:rPr>
        <w:rFonts w:ascii="Wingdings" w:hAnsi="Wingdings" w:hint="default"/>
      </w:rPr>
    </w:lvl>
    <w:lvl w:ilvl="4" w:tplc="49DAAACC" w:tentative="1">
      <w:start w:val="1"/>
      <w:numFmt w:val="bullet"/>
      <w:lvlText w:val=""/>
      <w:lvlJc w:val="left"/>
      <w:pPr>
        <w:tabs>
          <w:tab w:val="num" w:pos="3600"/>
        </w:tabs>
        <w:ind w:left="3600" w:hanging="360"/>
      </w:pPr>
      <w:rPr>
        <w:rFonts w:ascii="Wingdings" w:hAnsi="Wingdings" w:hint="default"/>
      </w:rPr>
    </w:lvl>
    <w:lvl w:ilvl="5" w:tplc="C2523914" w:tentative="1">
      <w:start w:val="1"/>
      <w:numFmt w:val="bullet"/>
      <w:lvlText w:val=""/>
      <w:lvlJc w:val="left"/>
      <w:pPr>
        <w:tabs>
          <w:tab w:val="num" w:pos="4320"/>
        </w:tabs>
        <w:ind w:left="4320" w:hanging="360"/>
      </w:pPr>
      <w:rPr>
        <w:rFonts w:ascii="Wingdings" w:hAnsi="Wingdings" w:hint="default"/>
      </w:rPr>
    </w:lvl>
    <w:lvl w:ilvl="6" w:tplc="2174AA38" w:tentative="1">
      <w:start w:val="1"/>
      <w:numFmt w:val="bullet"/>
      <w:lvlText w:val=""/>
      <w:lvlJc w:val="left"/>
      <w:pPr>
        <w:tabs>
          <w:tab w:val="num" w:pos="5040"/>
        </w:tabs>
        <w:ind w:left="5040" w:hanging="360"/>
      </w:pPr>
      <w:rPr>
        <w:rFonts w:ascii="Wingdings" w:hAnsi="Wingdings" w:hint="default"/>
      </w:rPr>
    </w:lvl>
    <w:lvl w:ilvl="7" w:tplc="D146FB9C" w:tentative="1">
      <w:start w:val="1"/>
      <w:numFmt w:val="bullet"/>
      <w:lvlText w:val=""/>
      <w:lvlJc w:val="left"/>
      <w:pPr>
        <w:tabs>
          <w:tab w:val="num" w:pos="5760"/>
        </w:tabs>
        <w:ind w:left="5760" w:hanging="360"/>
      </w:pPr>
      <w:rPr>
        <w:rFonts w:ascii="Wingdings" w:hAnsi="Wingdings" w:hint="default"/>
      </w:rPr>
    </w:lvl>
    <w:lvl w:ilvl="8" w:tplc="1E62DC48" w:tentative="1">
      <w:start w:val="1"/>
      <w:numFmt w:val="bullet"/>
      <w:lvlText w:val=""/>
      <w:lvlJc w:val="left"/>
      <w:pPr>
        <w:tabs>
          <w:tab w:val="num" w:pos="6480"/>
        </w:tabs>
        <w:ind w:left="6480" w:hanging="360"/>
      </w:pPr>
      <w:rPr>
        <w:rFonts w:ascii="Wingdings" w:hAnsi="Wingdings" w:hint="default"/>
      </w:rPr>
    </w:lvl>
  </w:abstractNum>
  <w:abstractNum w:abstractNumId="6">
    <w:nsid w:val="63DE74C9"/>
    <w:multiLevelType w:val="hybridMultilevel"/>
    <w:tmpl w:val="4AA4F1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74F525A2"/>
    <w:multiLevelType w:val="hybridMultilevel"/>
    <w:tmpl w:val="E2429DF6"/>
    <w:lvl w:ilvl="0" w:tplc="54688E66">
      <w:start w:val="1"/>
      <w:numFmt w:val="bullet"/>
      <w:lvlText w:val=""/>
      <w:lvlJc w:val="left"/>
      <w:pPr>
        <w:tabs>
          <w:tab w:val="num" w:pos="720"/>
        </w:tabs>
        <w:ind w:left="720" w:hanging="360"/>
      </w:pPr>
      <w:rPr>
        <w:rFonts w:ascii="Wingdings" w:hAnsi="Wingdings" w:hint="default"/>
      </w:rPr>
    </w:lvl>
    <w:lvl w:ilvl="1" w:tplc="6802946E" w:tentative="1">
      <w:start w:val="1"/>
      <w:numFmt w:val="bullet"/>
      <w:lvlText w:val=""/>
      <w:lvlJc w:val="left"/>
      <w:pPr>
        <w:tabs>
          <w:tab w:val="num" w:pos="1440"/>
        </w:tabs>
        <w:ind w:left="1440" w:hanging="360"/>
      </w:pPr>
      <w:rPr>
        <w:rFonts w:ascii="Wingdings" w:hAnsi="Wingdings" w:hint="default"/>
      </w:rPr>
    </w:lvl>
    <w:lvl w:ilvl="2" w:tplc="EB2E002A" w:tentative="1">
      <w:start w:val="1"/>
      <w:numFmt w:val="bullet"/>
      <w:lvlText w:val=""/>
      <w:lvlJc w:val="left"/>
      <w:pPr>
        <w:tabs>
          <w:tab w:val="num" w:pos="2160"/>
        </w:tabs>
        <w:ind w:left="2160" w:hanging="360"/>
      </w:pPr>
      <w:rPr>
        <w:rFonts w:ascii="Wingdings" w:hAnsi="Wingdings" w:hint="default"/>
      </w:rPr>
    </w:lvl>
    <w:lvl w:ilvl="3" w:tplc="B6A6AF02" w:tentative="1">
      <w:start w:val="1"/>
      <w:numFmt w:val="bullet"/>
      <w:lvlText w:val=""/>
      <w:lvlJc w:val="left"/>
      <w:pPr>
        <w:tabs>
          <w:tab w:val="num" w:pos="2880"/>
        </w:tabs>
        <w:ind w:left="2880" w:hanging="360"/>
      </w:pPr>
      <w:rPr>
        <w:rFonts w:ascii="Wingdings" w:hAnsi="Wingdings" w:hint="default"/>
      </w:rPr>
    </w:lvl>
    <w:lvl w:ilvl="4" w:tplc="565447A8" w:tentative="1">
      <w:start w:val="1"/>
      <w:numFmt w:val="bullet"/>
      <w:lvlText w:val=""/>
      <w:lvlJc w:val="left"/>
      <w:pPr>
        <w:tabs>
          <w:tab w:val="num" w:pos="3600"/>
        </w:tabs>
        <w:ind w:left="3600" w:hanging="360"/>
      </w:pPr>
      <w:rPr>
        <w:rFonts w:ascii="Wingdings" w:hAnsi="Wingdings" w:hint="default"/>
      </w:rPr>
    </w:lvl>
    <w:lvl w:ilvl="5" w:tplc="4E8A51D2" w:tentative="1">
      <w:start w:val="1"/>
      <w:numFmt w:val="bullet"/>
      <w:lvlText w:val=""/>
      <w:lvlJc w:val="left"/>
      <w:pPr>
        <w:tabs>
          <w:tab w:val="num" w:pos="4320"/>
        </w:tabs>
        <w:ind w:left="4320" w:hanging="360"/>
      </w:pPr>
      <w:rPr>
        <w:rFonts w:ascii="Wingdings" w:hAnsi="Wingdings" w:hint="default"/>
      </w:rPr>
    </w:lvl>
    <w:lvl w:ilvl="6" w:tplc="3A5C38C0" w:tentative="1">
      <w:start w:val="1"/>
      <w:numFmt w:val="bullet"/>
      <w:lvlText w:val=""/>
      <w:lvlJc w:val="left"/>
      <w:pPr>
        <w:tabs>
          <w:tab w:val="num" w:pos="5040"/>
        </w:tabs>
        <w:ind w:left="5040" w:hanging="360"/>
      </w:pPr>
      <w:rPr>
        <w:rFonts w:ascii="Wingdings" w:hAnsi="Wingdings" w:hint="default"/>
      </w:rPr>
    </w:lvl>
    <w:lvl w:ilvl="7" w:tplc="716233FC" w:tentative="1">
      <w:start w:val="1"/>
      <w:numFmt w:val="bullet"/>
      <w:lvlText w:val=""/>
      <w:lvlJc w:val="left"/>
      <w:pPr>
        <w:tabs>
          <w:tab w:val="num" w:pos="5760"/>
        </w:tabs>
        <w:ind w:left="5760" w:hanging="360"/>
      </w:pPr>
      <w:rPr>
        <w:rFonts w:ascii="Wingdings" w:hAnsi="Wingdings" w:hint="default"/>
      </w:rPr>
    </w:lvl>
    <w:lvl w:ilvl="8" w:tplc="D77C3BE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7"/>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08B5"/>
    <w:rsid w:val="000908A9"/>
    <w:rsid w:val="0011171A"/>
    <w:rsid w:val="001121E5"/>
    <w:rsid w:val="00171237"/>
    <w:rsid w:val="001E031C"/>
    <w:rsid w:val="00224D8B"/>
    <w:rsid w:val="00253AA8"/>
    <w:rsid w:val="00276E08"/>
    <w:rsid w:val="002E5E73"/>
    <w:rsid w:val="003318F3"/>
    <w:rsid w:val="00336F3B"/>
    <w:rsid w:val="0038035F"/>
    <w:rsid w:val="003A7914"/>
    <w:rsid w:val="004352F1"/>
    <w:rsid w:val="004740DF"/>
    <w:rsid w:val="004D5BCD"/>
    <w:rsid w:val="005212EF"/>
    <w:rsid w:val="005232F8"/>
    <w:rsid w:val="005B6756"/>
    <w:rsid w:val="005D1984"/>
    <w:rsid w:val="00723A38"/>
    <w:rsid w:val="007C5138"/>
    <w:rsid w:val="00862A5E"/>
    <w:rsid w:val="008B7902"/>
    <w:rsid w:val="008D6C77"/>
    <w:rsid w:val="009030A0"/>
    <w:rsid w:val="009820E6"/>
    <w:rsid w:val="009F683B"/>
    <w:rsid w:val="00A5731B"/>
    <w:rsid w:val="00A8593D"/>
    <w:rsid w:val="00B74D25"/>
    <w:rsid w:val="00BC4472"/>
    <w:rsid w:val="00C34163"/>
    <w:rsid w:val="00C52DF4"/>
    <w:rsid w:val="00C847F5"/>
    <w:rsid w:val="00CD28F9"/>
    <w:rsid w:val="00D66DA1"/>
    <w:rsid w:val="00D93247"/>
    <w:rsid w:val="00D97083"/>
    <w:rsid w:val="00DC7C29"/>
    <w:rsid w:val="00DF08B5"/>
    <w:rsid w:val="00E24927"/>
    <w:rsid w:val="00E54375"/>
    <w:rsid w:val="00EB1F9D"/>
    <w:rsid w:val="00F26F94"/>
    <w:rsid w:val="00FA607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8B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08B5"/>
    <w:pPr>
      <w:spacing w:after="0" w:line="240" w:lineRule="auto"/>
      <w:ind w:left="720"/>
      <w:contextualSpacing/>
    </w:pPr>
    <w:rPr>
      <w:rFonts w:ascii="Times New Roman" w:eastAsia="Times New Roman" w:hAnsi="Times New Roman"/>
      <w:sz w:val="24"/>
      <w:szCs w:val="24"/>
      <w:lang w:eastAsia="pl-PL"/>
    </w:rPr>
  </w:style>
  <w:style w:type="paragraph" w:styleId="NormalWeb">
    <w:name w:val="Normal (Web)"/>
    <w:basedOn w:val="Normal"/>
    <w:uiPriority w:val="99"/>
    <w:semiHidden/>
    <w:rsid w:val="00171237"/>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301883177">
      <w:marLeft w:val="0"/>
      <w:marRight w:val="0"/>
      <w:marTop w:val="0"/>
      <w:marBottom w:val="0"/>
      <w:divBdr>
        <w:top w:val="none" w:sz="0" w:space="0" w:color="auto"/>
        <w:left w:val="none" w:sz="0" w:space="0" w:color="auto"/>
        <w:bottom w:val="none" w:sz="0" w:space="0" w:color="auto"/>
        <w:right w:val="none" w:sz="0" w:space="0" w:color="auto"/>
      </w:divBdr>
      <w:divsChild>
        <w:div w:id="1301883178">
          <w:marLeft w:val="446"/>
          <w:marRight w:val="0"/>
          <w:marTop w:val="0"/>
          <w:marBottom w:val="0"/>
          <w:divBdr>
            <w:top w:val="none" w:sz="0" w:space="0" w:color="auto"/>
            <w:left w:val="none" w:sz="0" w:space="0" w:color="auto"/>
            <w:bottom w:val="none" w:sz="0" w:space="0" w:color="auto"/>
            <w:right w:val="none" w:sz="0" w:space="0" w:color="auto"/>
          </w:divBdr>
        </w:div>
        <w:div w:id="1301883190">
          <w:marLeft w:val="446"/>
          <w:marRight w:val="0"/>
          <w:marTop w:val="0"/>
          <w:marBottom w:val="120"/>
          <w:divBdr>
            <w:top w:val="none" w:sz="0" w:space="0" w:color="auto"/>
            <w:left w:val="none" w:sz="0" w:space="0" w:color="auto"/>
            <w:bottom w:val="none" w:sz="0" w:space="0" w:color="auto"/>
            <w:right w:val="none" w:sz="0" w:space="0" w:color="auto"/>
          </w:divBdr>
        </w:div>
        <w:div w:id="1301883193">
          <w:marLeft w:val="446"/>
          <w:marRight w:val="0"/>
          <w:marTop w:val="0"/>
          <w:marBottom w:val="0"/>
          <w:divBdr>
            <w:top w:val="none" w:sz="0" w:space="0" w:color="auto"/>
            <w:left w:val="none" w:sz="0" w:space="0" w:color="auto"/>
            <w:bottom w:val="none" w:sz="0" w:space="0" w:color="auto"/>
            <w:right w:val="none" w:sz="0" w:space="0" w:color="auto"/>
          </w:divBdr>
        </w:div>
        <w:div w:id="1301883195">
          <w:marLeft w:val="446"/>
          <w:marRight w:val="0"/>
          <w:marTop w:val="0"/>
          <w:marBottom w:val="0"/>
          <w:divBdr>
            <w:top w:val="none" w:sz="0" w:space="0" w:color="auto"/>
            <w:left w:val="none" w:sz="0" w:space="0" w:color="auto"/>
            <w:bottom w:val="none" w:sz="0" w:space="0" w:color="auto"/>
            <w:right w:val="none" w:sz="0" w:space="0" w:color="auto"/>
          </w:divBdr>
        </w:div>
      </w:divsChild>
    </w:div>
    <w:div w:id="1301883180">
      <w:marLeft w:val="0"/>
      <w:marRight w:val="0"/>
      <w:marTop w:val="0"/>
      <w:marBottom w:val="0"/>
      <w:divBdr>
        <w:top w:val="none" w:sz="0" w:space="0" w:color="auto"/>
        <w:left w:val="none" w:sz="0" w:space="0" w:color="auto"/>
        <w:bottom w:val="none" w:sz="0" w:space="0" w:color="auto"/>
        <w:right w:val="none" w:sz="0" w:space="0" w:color="auto"/>
      </w:divBdr>
    </w:div>
    <w:div w:id="1301883181">
      <w:marLeft w:val="0"/>
      <w:marRight w:val="0"/>
      <w:marTop w:val="0"/>
      <w:marBottom w:val="0"/>
      <w:divBdr>
        <w:top w:val="none" w:sz="0" w:space="0" w:color="auto"/>
        <w:left w:val="none" w:sz="0" w:space="0" w:color="auto"/>
        <w:bottom w:val="none" w:sz="0" w:space="0" w:color="auto"/>
        <w:right w:val="none" w:sz="0" w:space="0" w:color="auto"/>
      </w:divBdr>
      <w:divsChild>
        <w:div w:id="1301883194">
          <w:marLeft w:val="0"/>
          <w:marRight w:val="0"/>
          <w:marTop w:val="67"/>
          <w:marBottom w:val="0"/>
          <w:divBdr>
            <w:top w:val="none" w:sz="0" w:space="0" w:color="auto"/>
            <w:left w:val="none" w:sz="0" w:space="0" w:color="auto"/>
            <w:bottom w:val="none" w:sz="0" w:space="0" w:color="auto"/>
            <w:right w:val="none" w:sz="0" w:space="0" w:color="auto"/>
          </w:divBdr>
        </w:div>
      </w:divsChild>
    </w:div>
    <w:div w:id="1301883185">
      <w:marLeft w:val="0"/>
      <w:marRight w:val="0"/>
      <w:marTop w:val="0"/>
      <w:marBottom w:val="0"/>
      <w:divBdr>
        <w:top w:val="none" w:sz="0" w:space="0" w:color="auto"/>
        <w:left w:val="none" w:sz="0" w:space="0" w:color="auto"/>
        <w:bottom w:val="none" w:sz="0" w:space="0" w:color="auto"/>
        <w:right w:val="none" w:sz="0" w:space="0" w:color="auto"/>
      </w:divBdr>
    </w:div>
    <w:div w:id="1301883186">
      <w:marLeft w:val="0"/>
      <w:marRight w:val="0"/>
      <w:marTop w:val="0"/>
      <w:marBottom w:val="0"/>
      <w:divBdr>
        <w:top w:val="none" w:sz="0" w:space="0" w:color="auto"/>
        <w:left w:val="none" w:sz="0" w:space="0" w:color="auto"/>
        <w:bottom w:val="none" w:sz="0" w:space="0" w:color="auto"/>
        <w:right w:val="none" w:sz="0" w:space="0" w:color="auto"/>
      </w:divBdr>
    </w:div>
    <w:div w:id="1301883188">
      <w:marLeft w:val="0"/>
      <w:marRight w:val="0"/>
      <w:marTop w:val="0"/>
      <w:marBottom w:val="0"/>
      <w:divBdr>
        <w:top w:val="none" w:sz="0" w:space="0" w:color="auto"/>
        <w:left w:val="none" w:sz="0" w:space="0" w:color="auto"/>
        <w:bottom w:val="none" w:sz="0" w:space="0" w:color="auto"/>
        <w:right w:val="none" w:sz="0" w:space="0" w:color="auto"/>
      </w:divBdr>
    </w:div>
    <w:div w:id="1301883189">
      <w:marLeft w:val="0"/>
      <w:marRight w:val="0"/>
      <w:marTop w:val="0"/>
      <w:marBottom w:val="0"/>
      <w:divBdr>
        <w:top w:val="none" w:sz="0" w:space="0" w:color="auto"/>
        <w:left w:val="none" w:sz="0" w:space="0" w:color="auto"/>
        <w:bottom w:val="none" w:sz="0" w:space="0" w:color="auto"/>
        <w:right w:val="none" w:sz="0" w:space="0" w:color="auto"/>
      </w:divBdr>
    </w:div>
    <w:div w:id="1301883191">
      <w:marLeft w:val="0"/>
      <w:marRight w:val="0"/>
      <w:marTop w:val="0"/>
      <w:marBottom w:val="0"/>
      <w:divBdr>
        <w:top w:val="none" w:sz="0" w:space="0" w:color="auto"/>
        <w:left w:val="none" w:sz="0" w:space="0" w:color="auto"/>
        <w:bottom w:val="none" w:sz="0" w:space="0" w:color="auto"/>
        <w:right w:val="none" w:sz="0" w:space="0" w:color="auto"/>
      </w:divBdr>
      <w:divsChild>
        <w:div w:id="1301883179">
          <w:marLeft w:val="547"/>
          <w:marRight w:val="0"/>
          <w:marTop w:val="67"/>
          <w:marBottom w:val="0"/>
          <w:divBdr>
            <w:top w:val="none" w:sz="0" w:space="0" w:color="auto"/>
            <w:left w:val="none" w:sz="0" w:space="0" w:color="auto"/>
            <w:bottom w:val="none" w:sz="0" w:space="0" w:color="auto"/>
            <w:right w:val="none" w:sz="0" w:space="0" w:color="auto"/>
          </w:divBdr>
        </w:div>
        <w:div w:id="1301883182">
          <w:marLeft w:val="547"/>
          <w:marRight w:val="0"/>
          <w:marTop w:val="67"/>
          <w:marBottom w:val="0"/>
          <w:divBdr>
            <w:top w:val="none" w:sz="0" w:space="0" w:color="auto"/>
            <w:left w:val="none" w:sz="0" w:space="0" w:color="auto"/>
            <w:bottom w:val="none" w:sz="0" w:space="0" w:color="auto"/>
            <w:right w:val="none" w:sz="0" w:space="0" w:color="auto"/>
          </w:divBdr>
        </w:div>
        <w:div w:id="1301883183">
          <w:marLeft w:val="547"/>
          <w:marRight w:val="0"/>
          <w:marTop w:val="67"/>
          <w:marBottom w:val="0"/>
          <w:divBdr>
            <w:top w:val="none" w:sz="0" w:space="0" w:color="auto"/>
            <w:left w:val="none" w:sz="0" w:space="0" w:color="auto"/>
            <w:bottom w:val="none" w:sz="0" w:space="0" w:color="auto"/>
            <w:right w:val="none" w:sz="0" w:space="0" w:color="auto"/>
          </w:divBdr>
        </w:div>
        <w:div w:id="1301883184">
          <w:marLeft w:val="547"/>
          <w:marRight w:val="0"/>
          <w:marTop w:val="67"/>
          <w:marBottom w:val="0"/>
          <w:divBdr>
            <w:top w:val="none" w:sz="0" w:space="0" w:color="auto"/>
            <w:left w:val="none" w:sz="0" w:space="0" w:color="auto"/>
            <w:bottom w:val="none" w:sz="0" w:space="0" w:color="auto"/>
            <w:right w:val="none" w:sz="0" w:space="0" w:color="auto"/>
          </w:divBdr>
        </w:div>
        <w:div w:id="1301883187">
          <w:marLeft w:val="547"/>
          <w:marRight w:val="0"/>
          <w:marTop w:val="67"/>
          <w:marBottom w:val="0"/>
          <w:divBdr>
            <w:top w:val="none" w:sz="0" w:space="0" w:color="auto"/>
            <w:left w:val="none" w:sz="0" w:space="0" w:color="auto"/>
            <w:bottom w:val="none" w:sz="0" w:space="0" w:color="auto"/>
            <w:right w:val="none" w:sz="0" w:space="0" w:color="auto"/>
          </w:divBdr>
        </w:div>
        <w:div w:id="1301883192">
          <w:marLeft w:val="547"/>
          <w:marRight w:val="0"/>
          <w:marTop w:val="67"/>
          <w:marBottom w:val="0"/>
          <w:divBdr>
            <w:top w:val="none" w:sz="0" w:space="0" w:color="auto"/>
            <w:left w:val="none" w:sz="0" w:space="0" w:color="auto"/>
            <w:bottom w:val="none" w:sz="0" w:space="0" w:color="auto"/>
            <w:right w:val="none" w:sz="0" w:space="0" w:color="auto"/>
          </w:divBdr>
        </w:div>
        <w:div w:id="1301883197">
          <w:marLeft w:val="547"/>
          <w:marRight w:val="0"/>
          <w:marTop w:val="67"/>
          <w:marBottom w:val="0"/>
          <w:divBdr>
            <w:top w:val="none" w:sz="0" w:space="0" w:color="auto"/>
            <w:left w:val="none" w:sz="0" w:space="0" w:color="auto"/>
            <w:bottom w:val="none" w:sz="0" w:space="0" w:color="auto"/>
            <w:right w:val="none" w:sz="0" w:space="0" w:color="auto"/>
          </w:divBdr>
        </w:div>
      </w:divsChild>
    </w:div>
    <w:div w:id="1301883196">
      <w:marLeft w:val="0"/>
      <w:marRight w:val="0"/>
      <w:marTop w:val="0"/>
      <w:marBottom w:val="0"/>
      <w:divBdr>
        <w:top w:val="none" w:sz="0" w:space="0" w:color="auto"/>
        <w:left w:val="none" w:sz="0" w:space="0" w:color="auto"/>
        <w:bottom w:val="none" w:sz="0" w:space="0" w:color="auto"/>
        <w:right w:val="none" w:sz="0" w:space="0" w:color="auto"/>
      </w:divBdr>
    </w:div>
    <w:div w:id="1301883198">
      <w:marLeft w:val="0"/>
      <w:marRight w:val="0"/>
      <w:marTop w:val="0"/>
      <w:marBottom w:val="0"/>
      <w:divBdr>
        <w:top w:val="none" w:sz="0" w:space="0" w:color="auto"/>
        <w:left w:val="none" w:sz="0" w:space="0" w:color="auto"/>
        <w:bottom w:val="none" w:sz="0" w:space="0" w:color="auto"/>
        <w:right w:val="none" w:sz="0" w:space="0" w:color="auto"/>
      </w:divBdr>
    </w:div>
    <w:div w:id="13018831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3</Pages>
  <Words>1307</Words>
  <Characters>7844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warsztatów rozpoczęło wystąpienie Agnieszki Dawydzik, Dyrektora Departamentu Koordynacji Strategii i Polityk Rozwoju MIiR, która zaprezentowała wyniki negocjacji krajowych i regionalnych programów operacyjnych z Komisją Europejską</dc:title>
  <dc:subject/>
  <dc:creator>Metropolia2020</dc:creator>
  <cp:keywords/>
  <dc:description/>
  <cp:lastModifiedBy>kinkoz</cp:lastModifiedBy>
  <cp:revision>2</cp:revision>
  <dcterms:created xsi:type="dcterms:W3CDTF">2015-01-28T14:19:00Z</dcterms:created>
  <dcterms:modified xsi:type="dcterms:W3CDTF">2015-01-28T14:19:00Z</dcterms:modified>
</cp:coreProperties>
</file>